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2CB4" w14:textId="3B3B7461" w:rsidR="00002E24" w:rsidRPr="002D61C1" w:rsidRDefault="00002E24" w:rsidP="00002E24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2D61C1">
        <w:rPr>
          <w:rFonts w:ascii="Arial Narrow" w:hAnsi="Arial Narrow"/>
          <w:b/>
          <w:bCs/>
          <w:sz w:val="20"/>
          <w:szCs w:val="20"/>
        </w:rPr>
        <w:t>Deliberação do CBH xxxxxxxxx nº xx/202x, de xx de xxxxx de 202x</w:t>
      </w:r>
    </w:p>
    <w:p w14:paraId="5C20C3C4" w14:textId="61A31582" w:rsidR="00002E24" w:rsidRPr="002D61C1" w:rsidRDefault="00002E24" w:rsidP="00002E24">
      <w:pPr>
        <w:spacing w:after="0"/>
        <w:jc w:val="center"/>
        <w:rPr>
          <w:rFonts w:ascii="Arial Narrow" w:hAnsi="Arial Narrow"/>
          <w:sz w:val="14"/>
          <w:szCs w:val="14"/>
        </w:rPr>
      </w:pPr>
      <w:r w:rsidRPr="002D61C1">
        <w:rPr>
          <w:rFonts w:ascii="Arial Narrow" w:hAnsi="Arial Narrow"/>
          <w:sz w:val="14"/>
          <w:szCs w:val="14"/>
        </w:rPr>
        <w:t xml:space="preserve">“Instituído pelo Decreto Estadual xxxxxx de xx de </w:t>
      </w:r>
      <w:r w:rsidR="00020EF4" w:rsidRPr="002D61C1">
        <w:rPr>
          <w:rFonts w:ascii="Arial Narrow" w:hAnsi="Arial Narrow"/>
          <w:sz w:val="14"/>
          <w:szCs w:val="14"/>
        </w:rPr>
        <w:t>xxxxxx</w:t>
      </w:r>
      <w:r w:rsidRPr="002D61C1">
        <w:rPr>
          <w:rFonts w:ascii="Arial Narrow" w:hAnsi="Arial Narrow"/>
          <w:sz w:val="14"/>
          <w:szCs w:val="14"/>
        </w:rPr>
        <w:t xml:space="preserve"> de </w:t>
      </w:r>
      <w:r w:rsidR="00020EF4" w:rsidRPr="002D61C1">
        <w:rPr>
          <w:rFonts w:ascii="Arial Narrow" w:hAnsi="Arial Narrow"/>
          <w:sz w:val="14"/>
          <w:szCs w:val="14"/>
        </w:rPr>
        <w:t>xxxx</w:t>
      </w:r>
      <w:r w:rsidRPr="002D61C1">
        <w:rPr>
          <w:rFonts w:ascii="Arial Narrow" w:hAnsi="Arial Narrow"/>
          <w:sz w:val="14"/>
          <w:szCs w:val="14"/>
        </w:rPr>
        <w:t>”</w:t>
      </w:r>
    </w:p>
    <w:p w14:paraId="70030FE4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4"/>
          <w:szCs w:val="14"/>
        </w:rPr>
      </w:pPr>
    </w:p>
    <w:p w14:paraId="0AF65C28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4"/>
          <w:szCs w:val="14"/>
        </w:rPr>
      </w:pPr>
    </w:p>
    <w:p w14:paraId="283A10D2" w14:textId="67E3E492" w:rsidR="00020EF4" w:rsidRPr="002D61C1" w:rsidRDefault="00A243CC" w:rsidP="00020EF4">
      <w:pPr>
        <w:spacing w:after="0"/>
        <w:ind w:left="4111"/>
        <w:jc w:val="both"/>
        <w:rPr>
          <w:rFonts w:ascii="Arial Narrow" w:hAnsi="Arial Narrow"/>
          <w:b/>
          <w:bCs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DISPÕE SOBRE AS DIRETRIZES PARA O RECEBIMENTO DE DOAÇÕES DE BENS, RECURSOS E SERVIÇOS POR PESSOAS FÍSICAS OU JURÍDICAS AO COMITÊ DA BACIA HIDROGRÁFICA DO </w:t>
      </w:r>
      <w:r w:rsidR="00020EF4" w:rsidRPr="002D61C1">
        <w:rPr>
          <w:rFonts w:ascii="Arial Narrow" w:hAnsi="Arial Narrow"/>
          <w:b/>
          <w:bCs/>
          <w:sz w:val="16"/>
          <w:szCs w:val="16"/>
        </w:rPr>
        <w:t>XXXX, E DÁ OUTRAS PROVIDÊNCIAS.</w:t>
      </w:r>
    </w:p>
    <w:p w14:paraId="56A41B29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70B2C9AF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 xml:space="preserve">O COMITÊ DA BACIA HIDROGRÁFICA DO xxxxxxxxxxxxx, no uso de suas atribuições legais e regimentais, em especial o disposto no xxxxxxxxxxxxxxx, do seu Regimento Interno, e; </w:t>
      </w:r>
    </w:p>
    <w:p w14:paraId="15F03DF5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C858B63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DELIBERA:</w:t>
      </w:r>
    </w:p>
    <w:p w14:paraId="6A413552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E305F1A" w14:textId="2EB37F42" w:rsidR="00020EF4" w:rsidRPr="002D61C1" w:rsidRDefault="00020EF4" w:rsidP="00DD29E1">
      <w:pPr>
        <w:tabs>
          <w:tab w:val="left" w:pos="6946"/>
        </w:tabs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Art. 1°</w:t>
      </w:r>
      <w:r w:rsidRPr="002D61C1">
        <w:rPr>
          <w:rFonts w:ascii="Arial Narrow" w:hAnsi="Arial Narrow"/>
          <w:sz w:val="16"/>
          <w:szCs w:val="16"/>
        </w:rPr>
        <w:t xml:space="preserve"> - </w:t>
      </w:r>
      <w:r w:rsidR="00DD29E1" w:rsidRPr="002D61C1">
        <w:rPr>
          <w:rFonts w:ascii="Arial Narrow" w:hAnsi="Arial Narrow"/>
          <w:sz w:val="16"/>
          <w:szCs w:val="16"/>
        </w:rPr>
        <w:t xml:space="preserve">Esta Deliberação Normativa estabelece os critérios e procedimentos para o recebimento e a gestão de doações realizadas por pessoas físicas ou jurídicas ao Comitê da Bacia Hidrográfica do </w:t>
      </w:r>
      <w:r w:rsidRPr="002D61C1">
        <w:rPr>
          <w:rFonts w:ascii="Arial Narrow" w:hAnsi="Arial Narrow"/>
          <w:sz w:val="16"/>
          <w:szCs w:val="16"/>
        </w:rPr>
        <w:t>xxxxx</w:t>
      </w:r>
      <w:r w:rsidR="00DD29E1" w:rsidRPr="002D61C1">
        <w:rPr>
          <w:sz w:val="20"/>
          <w:szCs w:val="20"/>
        </w:rPr>
        <w:t xml:space="preserve"> </w:t>
      </w:r>
      <w:r w:rsidR="00DD29E1" w:rsidRPr="002D61C1">
        <w:rPr>
          <w:rFonts w:ascii="Arial Narrow" w:hAnsi="Arial Narrow"/>
          <w:sz w:val="16"/>
          <w:szCs w:val="16"/>
        </w:rPr>
        <w:t>com vistas à observância dos princípios da legalidade, impessoalidade, moralidade, publicidade e eficiência, nos termos do art. 37, caput, da Constituição Federal.</w:t>
      </w:r>
    </w:p>
    <w:p w14:paraId="4F79B86F" w14:textId="77777777" w:rsidR="00DD29E1" w:rsidRPr="002D61C1" w:rsidRDefault="00DD29E1" w:rsidP="00DD29E1">
      <w:pPr>
        <w:tabs>
          <w:tab w:val="left" w:pos="6946"/>
        </w:tabs>
        <w:spacing w:after="0"/>
        <w:jc w:val="both"/>
        <w:rPr>
          <w:rFonts w:ascii="Arial Narrow" w:hAnsi="Arial Narrow"/>
          <w:sz w:val="16"/>
          <w:szCs w:val="16"/>
        </w:rPr>
      </w:pPr>
    </w:p>
    <w:p w14:paraId="30BD5744" w14:textId="77777777" w:rsidR="00020EF4" w:rsidRPr="002D61C1" w:rsidRDefault="00020EF4" w:rsidP="00020EF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Art. 2</w:t>
      </w:r>
      <w:r w:rsidRPr="002D61C1">
        <w:rPr>
          <w:rFonts w:ascii="Cambria Math" w:hAnsi="Cambria Math" w:cs="Cambria Math"/>
          <w:b/>
          <w:bCs/>
          <w:sz w:val="16"/>
          <w:szCs w:val="16"/>
        </w:rPr>
        <w:t>⁰</w:t>
      </w:r>
      <w:r w:rsidRPr="002D61C1">
        <w:rPr>
          <w:rFonts w:ascii="Arial Narrow" w:hAnsi="Arial Narrow"/>
          <w:b/>
          <w:bCs/>
          <w:sz w:val="16"/>
          <w:szCs w:val="16"/>
        </w:rPr>
        <w:t>-</w:t>
      </w:r>
      <w:r w:rsidRPr="002D61C1">
        <w:rPr>
          <w:rFonts w:ascii="Arial Narrow" w:hAnsi="Arial Narrow"/>
          <w:sz w:val="16"/>
          <w:szCs w:val="16"/>
        </w:rPr>
        <w:t xml:space="preserve"> Serão consideradas doações quaisquer recursos financeiros, bens móveis, imóveis ou serviços, com ou sem encargos, recebidos pelo Comitê de Bacia Hidrográfica.</w:t>
      </w:r>
    </w:p>
    <w:p w14:paraId="234B0B3B" w14:textId="77777777" w:rsidR="00D30AD7" w:rsidRPr="002D61C1" w:rsidRDefault="00D30AD7" w:rsidP="00020EF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1FBE69A" w14:textId="4DEF3425" w:rsidR="00D30AD7" w:rsidRPr="002D61C1" w:rsidRDefault="00D30AD7" w:rsidP="00D30AD7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§1º</w:t>
      </w:r>
      <w:r w:rsidRPr="002D61C1">
        <w:rPr>
          <w:rFonts w:ascii="Arial Narrow" w:hAnsi="Arial Narrow"/>
          <w:sz w:val="16"/>
          <w:szCs w:val="16"/>
        </w:rPr>
        <w:t xml:space="preserve"> O recebimento de doações poderá ocorrer com ou sem ônus ou encargo e será efetuado de modo irretratável e irrevogável.</w:t>
      </w:r>
    </w:p>
    <w:p w14:paraId="20F49866" w14:textId="77777777" w:rsidR="005F43C4" w:rsidRPr="002D61C1" w:rsidRDefault="005F43C4" w:rsidP="00D30AD7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7CA6E39" w14:textId="4F396596" w:rsidR="00D30AD7" w:rsidRPr="002D61C1" w:rsidRDefault="007D4206" w:rsidP="00D30AD7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§2º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D30AD7" w:rsidRPr="002D61C1">
        <w:rPr>
          <w:rFonts w:ascii="Arial Narrow" w:hAnsi="Arial Narrow"/>
          <w:sz w:val="16"/>
          <w:szCs w:val="16"/>
        </w:rPr>
        <w:t>Para fins do disposto nest</w:t>
      </w:r>
      <w:r w:rsidRPr="002D61C1">
        <w:rPr>
          <w:rFonts w:ascii="Arial Narrow" w:hAnsi="Arial Narrow"/>
          <w:sz w:val="16"/>
          <w:szCs w:val="16"/>
        </w:rPr>
        <w:t>a deliberação normativa</w:t>
      </w:r>
      <w:r w:rsidR="00D30AD7" w:rsidRPr="002D61C1">
        <w:rPr>
          <w:rFonts w:ascii="Arial Narrow" w:hAnsi="Arial Narrow"/>
          <w:sz w:val="16"/>
          <w:szCs w:val="16"/>
        </w:rPr>
        <w:t>, considera-se ônus ou encargo a obrigação condicional imposta pelo doador ao donatário ou pelo comodante ao comodatário ou a terceiros, que determina restrição no bem móvel ou no serviço transferido ou que imponha obrigação de fazer ou não fazer, vedada a contrapartida financeira.</w:t>
      </w:r>
    </w:p>
    <w:p w14:paraId="10DC6916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6E635A29" w14:textId="77777777" w:rsidR="00523345" w:rsidRPr="002D61C1" w:rsidRDefault="00FE06CE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Art. 3º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523345" w:rsidRPr="002D61C1">
        <w:rPr>
          <w:rFonts w:ascii="Arial Narrow" w:hAnsi="Arial Narrow"/>
          <w:sz w:val="16"/>
          <w:szCs w:val="16"/>
        </w:rPr>
        <w:t>Para início do processo de recebimento de doação, o doador deverá formalizar manifestação de interesse junto ao Comitê da Bacia Hidrográfica, contendo, no mínimo:</w:t>
      </w:r>
    </w:p>
    <w:p w14:paraId="7486C530" w14:textId="77777777" w:rsidR="00523345" w:rsidRPr="002D61C1" w:rsidRDefault="00523345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 – descrição detalhada do objeto da doação, incluindo bens, recursos ou serviços ofertados;</w:t>
      </w:r>
    </w:p>
    <w:p w14:paraId="7147AAA9" w14:textId="77777777" w:rsidR="00523345" w:rsidRPr="002D61C1" w:rsidRDefault="00523345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 – condições da doação, especificando, quando for o caso, os ônus ou encargos vinculados ao bem ou serviço doado;</w:t>
      </w:r>
    </w:p>
    <w:p w14:paraId="656B08B5" w14:textId="6C4F100D" w:rsidR="00523345" w:rsidRPr="002D61C1" w:rsidRDefault="00523345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III – indicação de eventual contrapartida pretendida pelo doador, que deverá observar a vedação à contraprestação financeira;</w:t>
      </w:r>
    </w:p>
    <w:p w14:paraId="5639F692" w14:textId="61302E18" w:rsidR="00523345" w:rsidRPr="002D61C1" w:rsidRDefault="00523345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 xml:space="preserve">IV – </w:t>
      </w:r>
      <w:r w:rsidR="00E21CCB" w:rsidRPr="002D61C1">
        <w:rPr>
          <w:rFonts w:ascii="Arial Narrow" w:hAnsi="Arial Narrow"/>
          <w:sz w:val="16"/>
          <w:szCs w:val="16"/>
        </w:rPr>
        <w:t>declaração expressa sobre a existência ou não de intenção de utilização da doação para fins de compensação ou aproveitamento em processos de regularização, fiscalização ou outros procedimentos administrativos ou judiciais</w:t>
      </w:r>
      <w:r w:rsidR="00156A41" w:rsidRPr="00F56A41">
        <w:rPr>
          <w:rFonts w:ascii="Arial Narrow" w:hAnsi="Arial Narrow"/>
          <w:sz w:val="16"/>
          <w:szCs w:val="16"/>
        </w:rPr>
        <w:t>,</w:t>
      </w:r>
      <w:r w:rsidR="00F56A41" w:rsidRPr="00F56A41">
        <w:rPr>
          <w:rFonts w:ascii="Arial Narrow" w:hAnsi="Arial Narrow"/>
          <w:sz w:val="16"/>
          <w:szCs w:val="16"/>
        </w:rPr>
        <w:t xml:space="preserve"> </w:t>
      </w:r>
      <w:r w:rsidR="00F56A41">
        <w:rPr>
          <w:rFonts w:ascii="Arial Narrow" w:hAnsi="Arial Narrow"/>
          <w:sz w:val="16"/>
          <w:szCs w:val="16"/>
        </w:rPr>
        <w:t>incluindo</w:t>
      </w:r>
      <w:r w:rsidR="00156A41" w:rsidRPr="00F56A41">
        <w:rPr>
          <w:rFonts w:ascii="Arial Narrow" w:hAnsi="Arial Narrow"/>
          <w:sz w:val="16"/>
          <w:szCs w:val="16"/>
        </w:rPr>
        <w:t xml:space="preserve"> procedimentos para destinação de bens e</w:t>
      </w:r>
      <w:r w:rsidR="00F56A41" w:rsidRPr="00F56A41">
        <w:rPr>
          <w:rFonts w:ascii="Arial Narrow" w:hAnsi="Arial Narrow"/>
          <w:sz w:val="16"/>
          <w:szCs w:val="16"/>
        </w:rPr>
        <w:t xml:space="preserve"> </w:t>
      </w:r>
      <w:r w:rsidR="00156A41" w:rsidRPr="00F56A41">
        <w:rPr>
          <w:rFonts w:ascii="Arial Narrow" w:hAnsi="Arial Narrow"/>
          <w:sz w:val="16"/>
          <w:szCs w:val="16"/>
        </w:rPr>
        <w:t>valores decorrentes de decisões judiciais ou instrumentos autocompositivos em tutela coletiva, que</w:t>
      </w:r>
      <w:r w:rsidR="00F56A41" w:rsidRPr="00F56A41">
        <w:rPr>
          <w:rFonts w:ascii="Arial Narrow" w:hAnsi="Arial Narrow"/>
          <w:sz w:val="16"/>
          <w:szCs w:val="16"/>
        </w:rPr>
        <w:t xml:space="preserve"> </w:t>
      </w:r>
      <w:r w:rsidR="00156A41" w:rsidRPr="00F56A41">
        <w:rPr>
          <w:rFonts w:ascii="Arial Narrow" w:hAnsi="Arial Narrow"/>
          <w:sz w:val="16"/>
          <w:szCs w:val="16"/>
        </w:rPr>
        <w:t>reconheçam obrigações e imponham prestações de natureza reparatória</w:t>
      </w:r>
      <w:r w:rsidRPr="00F56A41">
        <w:rPr>
          <w:rFonts w:ascii="Arial Narrow" w:hAnsi="Arial Narrow"/>
          <w:sz w:val="16"/>
          <w:szCs w:val="16"/>
        </w:rPr>
        <w:t>;</w:t>
      </w:r>
    </w:p>
    <w:p w14:paraId="373F3AA8" w14:textId="60C979FC" w:rsidR="002C15C6" w:rsidRDefault="00523345" w:rsidP="00523345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V – documentos comprobatórios necessários para subsidiar a análise preliminar da doação</w:t>
      </w:r>
      <w:r w:rsidR="00283C44">
        <w:rPr>
          <w:rFonts w:ascii="Arial Narrow" w:hAnsi="Arial Narrow"/>
          <w:sz w:val="16"/>
          <w:szCs w:val="16"/>
        </w:rPr>
        <w:t xml:space="preserve">, </w:t>
      </w:r>
      <w:r w:rsidR="002C15C6">
        <w:rPr>
          <w:rFonts w:ascii="Arial Narrow" w:hAnsi="Arial Narrow"/>
          <w:sz w:val="16"/>
          <w:szCs w:val="16"/>
        </w:rPr>
        <w:t>de</w:t>
      </w:r>
      <w:r w:rsidR="008A61BE">
        <w:rPr>
          <w:rFonts w:ascii="Arial Narrow" w:hAnsi="Arial Narrow"/>
          <w:sz w:val="16"/>
          <w:szCs w:val="16"/>
        </w:rPr>
        <w:t>vendo ser apresentado, no mínimo</w:t>
      </w:r>
      <w:r w:rsidR="002C15C6">
        <w:rPr>
          <w:rFonts w:ascii="Arial Narrow" w:hAnsi="Arial Narrow"/>
          <w:sz w:val="16"/>
          <w:szCs w:val="16"/>
        </w:rPr>
        <w:t>:</w:t>
      </w:r>
    </w:p>
    <w:p w14:paraId="533BD730" w14:textId="7F56FA04" w:rsidR="002C15C6" w:rsidRPr="008A61BE" w:rsidRDefault="00BC6AE9" w:rsidP="0001453E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c</w:t>
      </w:r>
      <w:r w:rsidR="002C15C6" w:rsidRPr="008A61BE">
        <w:rPr>
          <w:rFonts w:ascii="Arial Narrow" w:hAnsi="Arial Narrow"/>
          <w:sz w:val="16"/>
          <w:szCs w:val="16"/>
        </w:rPr>
        <w:t xml:space="preserve">aso </w:t>
      </w:r>
      <w:r>
        <w:rPr>
          <w:rFonts w:ascii="Arial Narrow" w:hAnsi="Arial Narrow"/>
          <w:sz w:val="16"/>
          <w:szCs w:val="16"/>
        </w:rPr>
        <w:t>de</w:t>
      </w:r>
      <w:r w:rsidR="002C15C6" w:rsidRPr="008A61BE">
        <w:rPr>
          <w:rFonts w:ascii="Arial Narrow" w:hAnsi="Arial Narrow"/>
          <w:sz w:val="16"/>
          <w:szCs w:val="16"/>
        </w:rPr>
        <w:t xml:space="preserve"> empresário individual ou EIRELI, o ato constitutivo e/ou requerimento de empresário onde conste o carimbo/selo legível do respectivo registro na Junta Comercial do Estado onde está sediada empresa (com a numeração);</w:t>
      </w:r>
    </w:p>
    <w:p w14:paraId="39BB24A1" w14:textId="7BC19459" w:rsidR="002C15C6" w:rsidRPr="002C15C6" w:rsidRDefault="002C15C6" w:rsidP="002C15C6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2C15C6">
        <w:rPr>
          <w:rFonts w:ascii="Arial Narrow" w:hAnsi="Arial Narrow"/>
          <w:sz w:val="16"/>
          <w:szCs w:val="16"/>
        </w:rPr>
        <w:t>Caso esteja constituído como qualquer das espécies de sociedades empresárias, o ato constitutivo (estatuto ou contrato social com as respectivas alterações ou última consolidação) em vigor, com o carimbo/selo legível do respectivo registro e/ou averbação na Junta Comercial do Estado onde está sediada a empresa (com o respectivo número), e, especialmente no caso das sociedades por ações, quando não houver indicação de administradores no ato constitutivo, deverá ser apresentado, também, em anexo, o documento que comprova a eleição dos mesmos;</w:t>
      </w:r>
    </w:p>
    <w:p w14:paraId="5B79064F" w14:textId="488FB4F9" w:rsidR="002C15C6" w:rsidRPr="002C15C6" w:rsidRDefault="002C15C6" w:rsidP="002C15C6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2C15C6">
        <w:rPr>
          <w:rFonts w:ascii="Arial Narrow" w:hAnsi="Arial Narrow"/>
          <w:sz w:val="16"/>
          <w:szCs w:val="16"/>
        </w:rPr>
        <w:t>No caso de microempreendedor individual, o certificado de MEI emitido por órgão público com informação da data de nascimento do microempreendedor;</w:t>
      </w:r>
    </w:p>
    <w:p w14:paraId="4CF3EC06" w14:textId="6AD19D7C" w:rsidR="002C15C6" w:rsidRPr="002C15C6" w:rsidRDefault="002C15C6" w:rsidP="002C15C6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2C15C6">
        <w:rPr>
          <w:rFonts w:ascii="Arial Narrow" w:hAnsi="Arial Narrow"/>
          <w:sz w:val="16"/>
          <w:szCs w:val="16"/>
        </w:rPr>
        <w:t>Inscrição no CNPJ;</w:t>
      </w:r>
    </w:p>
    <w:p w14:paraId="1A93B149" w14:textId="77777777" w:rsidR="003A778E" w:rsidRPr="002C15C6" w:rsidRDefault="003A778E" w:rsidP="003A778E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2C15C6">
        <w:rPr>
          <w:rFonts w:ascii="Arial Narrow" w:hAnsi="Arial Narrow"/>
          <w:sz w:val="16"/>
          <w:szCs w:val="16"/>
        </w:rPr>
        <w:t>Comprovante de endereço;</w:t>
      </w:r>
    </w:p>
    <w:p w14:paraId="212A25ED" w14:textId="0EE458A9" w:rsidR="00FE34FC" w:rsidRPr="002C15C6" w:rsidRDefault="00FE34FC" w:rsidP="002C15C6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Certidão de </w:t>
      </w:r>
      <w:r w:rsidRPr="00FE34FC">
        <w:rPr>
          <w:rFonts w:ascii="Arial Narrow" w:hAnsi="Arial Narrow"/>
          <w:sz w:val="16"/>
          <w:szCs w:val="16"/>
        </w:rPr>
        <w:t xml:space="preserve">regularidade </w:t>
      </w:r>
      <w:r w:rsidR="00504C6A">
        <w:rPr>
          <w:rFonts w:ascii="Arial Narrow" w:hAnsi="Arial Narrow"/>
          <w:sz w:val="16"/>
          <w:szCs w:val="16"/>
        </w:rPr>
        <w:t xml:space="preserve">relativa à </w:t>
      </w:r>
      <w:r w:rsidRPr="00FE34FC">
        <w:rPr>
          <w:rFonts w:ascii="Arial Narrow" w:hAnsi="Arial Narrow"/>
          <w:sz w:val="16"/>
          <w:szCs w:val="16"/>
        </w:rPr>
        <w:t>Seguridade Social</w:t>
      </w:r>
      <w:r w:rsidR="00504C6A">
        <w:rPr>
          <w:rFonts w:ascii="Arial Narrow" w:hAnsi="Arial Narrow"/>
          <w:sz w:val="16"/>
          <w:szCs w:val="16"/>
        </w:rPr>
        <w:t>;</w:t>
      </w:r>
    </w:p>
    <w:p w14:paraId="0BCBE31F" w14:textId="77777777" w:rsidR="00D25AA8" w:rsidRDefault="002C15C6" w:rsidP="009D6B2F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2717D0">
        <w:rPr>
          <w:rFonts w:ascii="Arial Narrow" w:hAnsi="Arial Narrow"/>
          <w:sz w:val="16"/>
          <w:szCs w:val="16"/>
        </w:rPr>
        <w:t xml:space="preserve">Declaração de </w:t>
      </w:r>
      <w:r w:rsidR="002717D0" w:rsidRPr="002717D0">
        <w:rPr>
          <w:rFonts w:ascii="Arial Narrow" w:hAnsi="Arial Narrow"/>
          <w:sz w:val="16"/>
          <w:szCs w:val="16"/>
        </w:rPr>
        <w:t xml:space="preserve">cumprimento do inciso </w:t>
      </w:r>
      <w:r w:rsidRPr="002717D0">
        <w:rPr>
          <w:rFonts w:ascii="Arial Narrow" w:hAnsi="Arial Narrow"/>
          <w:sz w:val="16"/>
          <w:szCs w:val="16"/>
        </w:rPr>
        <w:t>XXXIII do art. 7° da Constituição Federal de 1988</w:t>
      </w:r>
      <w:r w:rsidR="00D25AA8">
        <w:rPr>
          <w:rFonts w:ascii="Arial Narrow" w:hAnsi="Arial Narrow"/>
          <w:sz w:val="16"/>
          <w:szCs w:val="16"/>
        </w:rPr>
        <w:t>;</w:t>
      </w:r>
    </w:p>
    <w:p w14:paraId="74BCFF86" w14:textId="1E6D3E7C" w:rsidR="002C15C6" w:rsidRPr="00FE3600" w:rsidRDefault="00D25AA8" w:rsidP="002C15C6">
      <w:pPr>
        <w:pStyle w:val="PargrafodaLista"/>
        <w:numPr>
          <w:ilvl w:val="0"/>
          <w:numId w:val="4"/>
        </w:numPr>
        <w:spacing w:after="0"/>
        <w:jc w:val="both"/>
        <w:rPr>
          <w:rFonts w:ascii="Arial Narrow" w:hAnsi="Arial Narrow"/>
          <w:sz w:val="16"/>
          <w:szCs w:val="16"/>
        </w:rPr>
      </w:pPr>
      <w:r w:rsidRPr="00FE3600">
        <w:rPr>
          <w:rFonts w:ascii="Arial Narrow" w:hAnsi="Arial Narrow"/>
          <w:sz w:val="16"/>
          <w:szCs w:val="16"/>
        </w:rPr>
        <w:t>Outra</w:t>
      </w:r>
      <w:r w:rsidR="00FE3600" w:rsidRPr="00FE3600">
        <w:rPr>
          <w:rFonts w:ascii="Arial Narrow" w:hAnsi="Arial Narrow"/>
          <w:sz w:val="16"/>
          <w:szCs w:val="16"/>
        </w:rPr>
        <w:t xml:space="preserve">s certidões de regularidade </w:t>
      </w:r>
      <w:r w:rsidRPr="00FE3600">
        <w:rPr>
          <w:rFonts w:ascii="Arial Narrow" w:hAnsi="Arial Narrow"/>
          <w:sz w:val="16"/>
          <w:szCs w:val="16"/>
        </w:rPr>
        <w:t>fiscal, social e trabalhista</w:t>
      </w:r>
      <w:r w:rsidR="00FE3600">
        <w:rPr>
          <w:rFonts w:ascii="Arial Narrow" w:hAnsi="Arial Narrow"/>
          <w:sz w:val="16"/>
          <w:szCs w:val="16"/>
        </w:rPr>
        <w:t>.</w:t>
      </w:r>
    </w:p>
    <w:p w14:paraId="0DCB17A6" w14:textId="77777777" w:rsidR="005179A0" w:rsidRPr="002D61C1" w:rsidRDefault="005179A0" w:rsidP="00523345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69105A7C" w14:textId="757D5E1F" w:rsidR="003C5066" w:rsidRPr="00CE2649" w:rsidRDefault="00002E24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4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830A8D" w:rsidRPr="00830A8D">
        <w:rPr>
          <w:rFonts w:ascii="Arial Narrow" w:hAnsi="Arial Narrow"/>
          <w:sz w:val="16"/>
          <w:szCs w:val="16"/>
        </w:rPr>
        <w:t>As doações deverão ser formalizadas por meio de termo de doação, firmado com a Agência de Bacia ou entidade equiparada responsável pela execução do contrato de gestão, com a interveniência do Comitê.</w:t>
      </w:r>
    </w:p>
    <w:p w14:paraId="5BA8976A" w14:textId="77777777" w:rsidR="003C5066" w:rsidRDefault="003C5066" w:rsidP="00DE559F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9182B24" w14:textId="5990B949" w:rsidR="00830A8D" w:rsidRDefault="00C14493" w:rsidP="00DE559F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</w:t>
      </w:r>
      <w:r>
        <w:rPr>
          <w:rFonts w:ascii="Arial Narrow" w:hAnsi="Arial Narrow"/>
          <w:b/>
          <w:bCs/>
          <w:sz w:val="16"/>
          <w:szCs w:val="16"/>
        </w:rPr>
        <w:t>1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822706" w:rsidRPr="00C14493">
        <w:rPr>
          <w:rFonts w:ascii="Arial Narrow" w:hAnsi="Arial Narrow"/>
          <w:sz w:val="16"/>
          <w:szCs w:val="16"/>
        </w:rPr>
        <w:t>O termo de doação será submetido previamente ao órgão de assessoramento jurídico da Agência de Bacia ou entidade equiparada responsável pela execução do contrato de gestão, para análise quanto à sua conformidade legal e à inexistência de impedimentos normativos.</w:t>
      </w:r>
    </w:p>
    <w:p w14:paraId="05B4DDF2" w14:textId="77777777" w:rsidR="00830A8D" w:rsidRDefault="00830A8D" w:rsidP="00DE559F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42A5074D" w14:textId="7796E48A" w:rsidR="00DE559F" w:rsidRPr="002D61C1" w:rsidRDefault="00E712EB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§2º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3C5066">
        <w:rPr>
          <w:rFonts w:ascii="Arial Narrow" w:hAnsi="Arial Narrow"/>
          <w:sz w:val="16"/>
          <w:szCs w:val="16"/>
        </w:rPr>
        <w:t xml:space="preserve">O termo de doação </w:t>
      </w:r>
      <w:r w:rsidR="00DE559F" w:rsidRPr="002D61C1">
        <w:rPr>
          <w:rFonts w:ascii="Arial Narrow" w:hAnsi="Arial Narrow"/>
          <w:sz w:val="16"/>
          <w:szCs w:val="16"/>
        </w:rPr>
        <w:t>deverá conter</w:t>
      </w:r>
      <w:r w:rsidR="003C5066">
        <w:rPr>
          <w:rFonts w:ascii="Arial Narrow" w:hAnsi="Arial Narrow"/>
          <w:sz w:val="16"/>
          <w:szCs w:val="16"/>
        </w:rPr>
        <w:t>, no mínimo</w:t>
      </w:r>
      <w:r w:rsidR="00DE559F" w:rsidRPr="002D61C1">
        <w:rPr>
          <w:rFonts w:ascii="Arial Narrow" w:hAnsi="Arial Narrow"/>
          <w:sz w:val="16"/>
          <w:szCs w:val="16"/>
        </w:rPr>
        <w:t>:</w:t>
      </w:r>
    </w:p>
    <w:p w14:paraId="5015E080" w14:textId="788159AB" w:rsidR="00DE559F" w:rsidRPr="002D61C1" w:rsidRDefault="00DE559F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 - a identificação completa do doador;</w:t>
      </w:r>
    </w:p>
    <w:p w14:paraId="72526BEF" w14:textId="20F7098F" w:rsidR="00DE559F" w:rsidRPr="002D61C1" w:rsidRDefault="00DE559F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 - o valor ou a descrição detalhada da doação;</w:t>
      </w:r>
    </w:p>
    <w:p w14:paraId="5F039D11" w14:textId="510C8D3A" w:rsidR="00DE559F" w:rsidRPr="002D61C1" w:rsidRDefault="00DE559F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III - a finalidade da doação, quando houver;</w:t>
      </w:r>
    </w:p>
    <w:p w14:paraId="1E55F604" w14:textId="742F2AC6" w:rsidR="00002E24" w:rsidRPr="002D61C1" w:rsidRDefault="00DE559F" w:rsidP="00DE559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IV - a declaração de que a doação não implica em qualquer tipo de contrapartida</w:t>
      </w:r>
      <w:r w:rsidR="00283C44">
        <w:rPr>
          <w:rFonts w:ascii="Arial Narrow" w:hAnsi="Arial Narrow"/>
          <w:sz w:val="16"/>
          <w:szCs w:val="16"/>
        </w:rPr>
        <w:t xml:space="preserve"> financeira</w:t>
      </w:r>
      <w:r w:rsidRPr="002D61C1">
        <w:rPr>
          <w:rFonts w:ascii="Arial Narrow" w:hAnsi="Arial Narrow"/>
          <w:sz w:val="16"/>
          <w:szCs w:val="16"/>
        </w:rPr>
        <w:t>, benefício ou vantagem indevida.</w:t>
      </w:r>
    </w:p>
    <w:p w14:paraId="04DC649D" w14:textId="77777777" w:rsidR="00DE559F" w:rsidRPr="002D61C1" w:rsidRDefault="00DE559F" w:rsidP="00DE559F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C977BE6" w14:textId="1EC6BE39" w:rsidR="00762C3F" w:rsidRDefault="00762C3F" w:rsidP="00762C3F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</w:t>
      </w:r>
      <w:r w:rsidR="001D0151">
        <w:rPr>
          <w:rFonts w:ascii="Arial Narrow" w:hAnsi="Arial Narrow"/>
          <w:b/>
          <w:bCs/>
          <w:sz w:val="16"/>
          <w:szCs w:val="16"/>
        </w:rPr>
        <w:t>3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C55C6C" w:rsidRPr="00C55C6C">
        <w:rPr>
          <w:rFonts w:ascii="Arial Narrow" w:hAnsi="Arial Narrow"/>
          <w:sz w:val="16"/>
          <w:szCs w:val="16"/>
        </w:rPr>
        <w:t>Quando houver contrapartida institucional não financeira, esta deverá estar claramente definida no termo de doação, com aprovação prévia do plenário do Comitê.</w:t>
      </w:r>
    </w:p>
    <w:p w14:paraId="43CC2BB7" w14:textId="77777777" w:rsidR="000C066A" w:rsidRPr="002D61C1" w:rsidRDefault="000C066A" w:rsidP="00DE559F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F17D80A" w14:textId="7AB5B5C5" w:rsidR="00C738AA" w:rsidRPr="002D61C1" w:rsidRDefault="00002E24" w:rsidP="00C738A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5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C738AA" w:rsidRPr="002D61C1">
        <w:rPr>
          <w:rFonts w:ascii="Arial Narrow" w:hAnsi="Arial Narrow"/>
          <w:sz w:val="16"/>
          <w:szCs w:val="16"/>
        </w:rPr>
        <w:t>É vedado ao Comitê de Bacia Hidrográfica receber doações que:</w:t>
      </w:r>
    </w:p>
    <w:p w14:paraId="6E0D6EC4" w14:textId="77777777" w:rsidR="008F00C7" w:rsidRPr="002D61C1" w:rsidRDefault="00C738AA" w:rsidP="00C738A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lastRenderedPageBreak/>
        <w:t>I - possam configurar conflito de interesses com as suas atribuições e competências;</w:t>
      </w:r>
    </w:p>
    <w:p w14:paraId="70C7B0BA" w14:textId="34AE1996" w:rsidR="00C738AA" w:rsidRPr="002D61C1" w:rsidRDefault="008F00C7" w:rsidP="00C738A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 xml:space="preserve">II - </w:t>
      </w:r>
      <w:r w:rsidR="00D042CC" w:rsidRPr="002D61C1">
        <w:rPr>
          <w:rFonts w:ascii="Arial Narrow" w:hAnsi="Arial Narrow"/>
          <w:sz w:val="16"/>
          <w:szCs w:val="16"/>
        </w:rPr>
        <w:t>possam afetar a independência e imparcialidade das decisões do Comitê;</w:t>
      </w:r>
    </w:p>
    <w:p w14:paraId="37D3B925" w14:textId="2050F2D9" w:rsidR="00C738AA" w:rsidRPr="002D61C1" w:rsidRDefault="00415076" w:rsidP="00C738A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</w:t>
      </w:r>
      <w:r w:rsidR="00C738AA" w:rsidRPr="002D61C1">
        <w:rPr>
          <w:rFonts w:ascii="Arial Narrow" w:hAnsi="Arial Narrow"/>
          <w:sz w:val="16"/>
          <w:szCs w:val="16"/>
        </w:rPr>
        <w:t>II -</w:t>
      </w:r>
      <w:r w:rsidR="00032E90" w:rsidRPr="002D61C1">
        <w:rPr>
          <w:sz w:val="20"/>
          <w:szCs w:val="20"/>
        </w:rPr>
        <w:t xml:space="preserve"> </w:t>
      </w:r>
      <w:r w:rsidR="00032E90" w:rsidRPr="002D61C1">
        <w:rPr>
          <w:rFonts w:ascii="Arial Narrow" w:hAnsi="Arial Narrow"/>
          <w:sz w:val="16"/>
          <w:szCs w:val="16"/>
        </w:rPr>
        <w:t xml:space="preserve">provenham de pessoas físicas ou jurídicas em litígio ou sob processo fiscalizatório, administrativo ou judicial </w:t>
      </w:r>
      <w:r w:rsidR="0051361A">
        <w:rPr>
          <w:rFonts w:ascii="Arial Narrow" w:hAnsi="Arial Narrow"/>
          <w:sz w:val="16"/>
          <w:szCs w:val="16"/>
        </w:rPr>
        <w:t>envolvendo o Comitê.</w:t>
      </w:r>
    </w:p>
    <w:p w14:paraId="77C694A7" w14:textId="17CBA47E" w:rsidR="00284869" w:rsidRPr="002D61C1" w:rsidRDefault="00C738AA" w:rsidP="00C738A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</w:t>
      </w:r>
      <w:r w:rsidR="00415076" w:rsidRPr="002D61C1">
        <w:rPr>
          <w:rFonts w:ascii="Arial Narrow" w:hAnsi="Arial Narrow"/>
          <w:sz w:val="16"/>
          <w:szCs w:val="16"/>
        </w:rPr>
        <w:t>V</w:t>
      </w:r>
      <w:r w:rsidRPr="002D61C1">
        <w:rPr>
          <w:rFonts w:ascii="Arial Narrow" w:hAnsi="Arial Narrow"/>
          <w:sz w:val="16"/>
          <w:szCs w:val="16"/>
        </w:rPr>
        <w:t xml:space="preserve"> - </w:t>
      </w:r>
      <w:r w:rsidR="00FE7029" w:rsidRPr="002D61C1">
        <w:rPr>
          <w:rFonts w:ascii="Arial Narrow" w:hAnsi="Arial Narrow"/>
          <w:sz w:val="16"/>
          <w:szCs w:val="16"/>
        </w:rPr>
        <w:t>impliquem em dependência econômica relevante do Comitê em relação ao doador;</w:t>
      </w:r>
    </w:p>
    <w:p w14:paraId="690ECCE9" w14:textId="7A723D7A" w:rsidR="00002E24" w:rsidRPr="002D61C1" w:rsidRDefault="00C83963" w:rsidP="00002E2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 xml:space="preserve">V – </w:t>
      </w:r>
      <w:r w:rsidR="00061E99" w:rsidRPr="002D61C1">
        <w:rPr>
          <w:rFonts w:ascii="Arial Narrow" w:hAnsi="Arial Narrow"/>
          <w:sz w:val="16"/>
          <w:szCs w:val="16"/>
        </w:rPr>
        <w:t>contrariem os objetivos e prioridades estabelecidos no Plano de Bacia ou nos instrumentos de planejamento do Comitê.</w:t>
      </w:r>
    </w:p>
    <w:p w14:paraId="775AA121" w14:textId="77777777" w:rsidR="00955114" w:rsidRPr="002D61C1" w:rsidRDefault="0095511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77D800D9" w14:textId="2BD44090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Parágrafo único</w:t>
      </w:r>
      <w:r w:rsidR="005D0E26" w:rsidRPr="002D61C1">
        <w:rPr>
          <w:rFonts w:ascii="Arial Narrow" w:hAnsi="Arial Narrow"/>
          <w:sz w:val="16"/>
          <w:szCs w:val="16"/>
        </w:rPr>
        <w:t xml:space="preserve">. Para os fins desta </w:t>
      </w:r>
      <w:r w:rsidR="00D47234" w:rsidRPr="002D61C1">
        <w:rPr>
          <w:rFonts w:ascii="Arial Narrow" w:hAnsi="Arial Narrow"/>
          <w:sz w:val="16"/>
          <w:szCs w:val="16"/>
        </w:rPr>
        <w:t>deliberação normativa</w:t>
      </w:r>
      <w:r w:rsidR="005D0E26" w:rsidRPr="002D61C1">
        <w:rPr>
          <w:rFonts w:ascii="Arial Narrow" w:hAnsi="Arial Narrow"/>
          <w:sz w:val="16"/>
          <w:szCs w:val="16"/>
        </w:rPr>
        <w:t>, considera-se conflito de interesse a situação gerada pelo confronto entre os interesses do Comitê de Bacia Hidrográfica e os interesses particulares de um doador, que possa comprometer a independência e a imparcialidade do Comitê.</w:t>
      </w:r>
      <w:r w:rsidRPr="002D61C1">
        <w:rPr>
          <w:rFonts w:ascii="Arial Narrow" w:hAnsi="Arial Narrow"/>
          <w:sz w:val="16"/>
          <w:szCs w:val="16"/>
        </w:rPr>
        <w:t xml:space="preserve"> </w:t>
      </w:r>
    </w:p>
    <w:p w14:paraId="34A58EDA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E660B26" w14:textId="53986609" w:rsidR="00002E24" w:rsidRPr="002D61C1" w:rsidRDefault="00002E24" w:rsidP="005D0E26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6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8F13E4" w:rsidRPr="002D61C1">
        <w:rPr>
          <w:rFonts w:ascii="Arial Narrow" w:hAnsi="Arial Narrow"/>
          <w:sz w:val="16"/>
          <w:szCs w:val="16"/>
        </w:rPr>
        <w:t>A análise de potenciais conflitos de interesse será realizada por uma Comissão Permanente de Revisão de Atos Relacionados às Atividades Críticas em Processos de Doação e Parcerias, designada pelo plenário do Comitê, composta por membros de diferentes segmentos (poder público, sociedade civil e usuários de água).</w:t>
      </w:r>
    </w:p>
    <w:p w14:paraId="3BC6955C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EC91042" w14:textId="5DC493B9" w:rsidR="008B679A" w:rsidRPr="002D61C1" w:rsidRDefault="00203CEB" w:rsidP="008B679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§1º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8B679A" w:rsidRPr="002D61C1">
        <w:rPr>
          <w:rFonts w:ascii="Arial Narrow" w:hAnsi="Arial Narrow"/>
          <w:sz w:val="16"/>
          <w:szCs w:val="16"/>
        </w:rPr>
        <w:t>A Comissão Permanente deverá elaborar parecer conclusivo indicando se há ou não situação de conflito de interesses.</w:t>
      </w:r>
    </w:p>
    <w:p w14:paraId="1F56813B" w14:textId="77777777" w:rsidR="00203CEB" w:rsidRDefault="00203CEB" w:rsidP="008B679A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628196BB" w14:textId="23340FFF" w:rsidR="008B679A" w:rsidRPr="002D61C1" w:rsidRDefault="008B679A" w:rsidP="008B679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</w:t>
      </w:r>
      <w:r w:rsidR="00203CEB">
        <w:rPr>
          <w:rFonts w:ascii="Arial Narrow" w:hAnsi="Arial Narrow"/>
          <w:b/>
          <w:bCs/>
          <w:sz w:val="16"/>
          <w:szCs w:val="16"/>
        </w:rPr>
        <w:t>2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O parecer da Comissão será submetido à deliberação da Plenária do Comitê de Bacia Hidrográfica, a quem caberá sua aprovação.</w:t>
      </w:r>
    </w:p>
    <w:p w14:paraId="1FC21695" w14:textId="77777777" w:rsidR="008B679A" w:rsidRPr="002D61C1" w:rsidRDefault="008B679A" w:rsidP="008B679A">
      <w:pPr>
        <w:spacing w:after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20806D36" w14:textId="5D9870F1" w:rsidR="008B679A" w:rsidRPr="002D61C1" w:rsidRDefault="008B679A" w:rsidP="008B679A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</w:t>
      </w:r>
      <w:r w:rsidR="00203CEB">
        <w:rPr>
          <w:rFonts w:ascii="Arial Narrow" w:hAnsi="Arial Narrow"/>
          <w:b/>
          <w:bCs/>
          <w:sz w:val="16"/>
          <w:szCs w:val="16"/>
        </w:rPr>
        <w:t>3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O parecer deverá, obrigatoriamente, abordar de forma fundamentada os elementos constantes dos incisos I a V do artigo 4º, sem prejuízo de outros aspectos relevantes para a caracterização de eventual conflito de interesses.</w:t>
      </w:r>
    </w:p>
    <w:p w14:paraId="22F90694" w14:textId="77777777" w:rsidR="008B679A" w:rsidRPr="002D61C1" w:rsidRDefault="008B679A" w:rsidP="008B679A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E58415A" w14:textId="42E97637" w:rsidR="00C54B8A" w:rsidRPr="002D61C1" w:rsidRDefault="00203CEB" w:rsidP="00243221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§</w:t>
      </w:r>
      <w:r>
        <w:rPr>
          <w:rFonts w:ascii="Arial Narrow" w:hAnsi="Arial Narrow"/>
          <w:b/>
          <w:bCs/>
          <w:sz w:val="16"/>
          <w:szCs w:val="16"/>
        </w:rPr>
        <w:t>4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</w:t>
      </w:r>
      <w:r w:rsidR="00C54B8A" w:rsidRPr="002D61C1">
        <w:rPr>
          <w:rFonts w:ascii="Arial Narrow" w:hAnsi="Arial Narrow"/>
          <w:sz w:val="16"/>
          <w:szCs w:val="16"/>
        </w:rPr>
        <w:t xml:space="preserve">Para realizar a análise, a Comissão </w:t>
      </w:r>
      <w:r w:rsidR="00EC74ED" w:rsidRPr="002D61C1">
        <w:rPr>
          <w:rFonts w:ascii="Arial Narrow" w:hAnsi="Arial Narrow"/>
          <w:sz w:val="16"/>
          <w:szCs w:val="16"/>
        </w:rPr>
        <w:t>Permanente</w:t>
      </w:r>
      <w:r w:rsidR="00C54B8A" w:rsidRPr="002D61C1">
        <w:rPr>
          <w:rFonts w:ascii="Arial Narrow" w:hAnsi="Arial Narrow"/>
          <w:sz w:val="16"/>
          <w:szCs w:val="16"/>
        </w:rPr>
        <w:t xml:space="preserve"> poderá </w:t>
      </w:r>
      <w:r w:rsidR="001A61B1" w:rsidRPr="002D61C1">
        <w:rPr>
          <w:rFonts w:ascii="Arial Narrow" w:hAnsi="Arial Narrow"/>
          <w:sz w:val="16"/>
          <w:szCs w:val="16"/>
        </w:rPr>
        <w:t xml:space="preserve">encaminhar </w:t>
      </w:r>
      <w:r w:rsidR="00127AB8" w:rsidRPr="002D61C1">
        <w:rPr>
          <w:rFonts w:ascii="Arial Narrow" w:hAnsi="Arial Narrow"/>
          <w:sz w:val="16"/>
          <w:szCs w:val="16"/>
        </w:rPr>
        <w:t xml:space="preserve">consulta aos órgãos apoiadores de gestão ou </w:t>
      </w:r>
      <w:r w:rsidR="00C54B8A" w:rsidRPr="002D61C1">
        <w:rPr>
          <w:rFonts w:ascii="Arial Narrow" w:hAnsi="Arial Narrow"/>
          <w:sz w:val="16"/>
          <w:szCs w:val="16"/>
        </w:rPr>
        <w:t>solicitar informações adicionais ao doador, tais como demonstrações financeiras, relatórios de sustentabilidade e certidões negativas de débitos e de processos judiciais ou administrativos.</w:t>
      </w:r>
    </w:p>
    <w:p w14:paraId="07B6B190" w14:textId="77777777" w:rsidR="00DD6C32" w:rsidRPr="002D61C1" w:rsidRDefault="00DD6C32" w:rsidP="00243221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A328086" w14:textId="4A1DC837" w:rsidR="00AC0F62" w:rsidRPr="002D61C1" w:rsidRDefault="00DD6C32" w:rsidP="00243221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7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– A decisão do Comitê será fundamentada e deverá ser comunicada ao doador. </w:t>
      </w:r>
    </w:p>
    <w:p w14:paraId="1BDDCEB5" w14:textId="77777777" w:rsidR="00AC0F62" w:rsidRPr="002D61C1" w:rsidRDefault="00AC0F62" w:rsidP="00243221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C46AF8C" w14:textId="17C9E2BC" w:rsidR="00DD6C32" w:rsidRPr="002D61C1" w:rsidRDefault="00251A38" w:rsidP="00243221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Parágrafo único</w:t>
      </w:r>
      <w:r w:rsidRPr="002D61C1">
        <w:rPr>
          <w:rFonts w:ascii="Arial Narrow" w:hAnsi="Arial Narrow"/>
          <w:sz w:val="16"/>
          <w:szCs w:val="16"/>
        </w:rPr>
        <w:t xml:space="preserve">. </w:t>
      </w:r>
      <w:r w:rsidR="00DD6C32" w:rsidRPr="002D61C1">
        <w:rPr>
          <w:rFonts w:ascii="Arial Narrow" w:hAnsi="Arial Narrow"/>
          <w:sz w:val="16"/>
          <w:szCs w:val="16"/>
        </w:rPr>
        <w:t>A rejeição da doação não implica em juízo de valor sobre o doador, mas sim na preservação da integridade e da autonomia do Comitê.</w:t>
      </w:r>
    </w:p>
    <w:p w14:paraId="1C835FCB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C05BBD1" w14:textId="79ED8596" w:rsidR="00262F2C" w:rsidRPr="002D61C1" w:rsidRDefault="00002E24" w:rsidP="00262F2C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8</w:t>
      </w:r>
      <w:r w:rsidRPr="002D61C1">
        <w:rPr>
          <w:rFonts w:ascii="Arial Narrow" w:hAnsi="Arial Narrow"/>
          <w:b/>
          <w:bCs/>
          <w:sz w:val="16"/>
          <w:szCs w:val="16"/>
        </w:rPr>
        <w:t>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262F2C" w:rsidRPr="002D61C1">
        <w:rPr>
          <w:rFonts w:ascii="Arial Narrow" w:hAnsi="Arial Narrow"/>
          <w:sz w:val="16"/>
          <w:szCs w:val="16"/>
        </w:rPr>
        <w:t>As doações recebidas serão registradas para fins de controle financeiro e patrimonial e divulgadas em relatório anual no site do Comitê de Bacia Hidrográfica, com as seguintes informações:</w:t>
      </w:r>
    </w:p>
    <w:p w14:paraId="73031E35" w14:textId="77777777" w:rsidR="00262F2C" w:rsidRPr="002D61C1" w:rsidRDefault="00262F2C" w:rsidP="00262F2C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 - a identificação dos doadores;</w:t>
      </w:r>
    </w:p>
    <w:p w14:paraId="59AADCED" w14:textId="77777777" w:rsidR="00262F2C" w:rsidRPr="002D61C1" w:rsidRDefault="00262F2C" w:rsidP="00262F2C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 - os valores e a finalidade das doações;</w:t>
      </w:r>
    </w:p>
    <w:p w14:paraId="0AEA4BBD" w14:textId="77777777" w:rsidR="00262F2C" w:rsidRPr="002D61C1" w:rsidRDefault="00262F2C" w:rsidP="00262F2C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>III - a aplicação dos recursos.</w:t>
      </w:r>
    </w:p>
    <w:p w14:paraId="3A04611A" w14:textId="77777777" w:rsidR="00AC0F62" w:rsidRPr="002D61C1" w:rsidRDefault="00AC0F62" w:rsidP="00262F2C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4F8F947" w14:textId="57DD622E" w:rsidR="00AC0F62" w:rsidRPr="002D61C1" w:rsidRDefault="00251A38" w:rsidP="00251A38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4234F9">
        <w:rPr>
          <w:rFonts w:ascii="Arial Narrow" w:hAnsi="Arial Narrow"/>
          <w:b/>
          <w:bCs/>
          <w:sz w:val="16"/>
          <w:szCs w:val="16"/>
        </w:rPr>
        <w:t>9º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4E4AA5" w:rsidRPr="002D61C1">
        <w:rPr>
          <w:rFonts w:ascii="Arial Narrow" w:hAnsi="Arial Narrow"/>
          <w:sz w:val="16"/>
          <w:szCs w:val="16"/>
        </w:rPr>
        <w:t>A gestão financeira e contábil dos recursos doados será realizada pela Agência de Bacia ou entidade equiparada, conforme contrato de gestão vigente.</w:t>
      </w:r>
    </w:p>
    <w:p w14:paraId="2801EA61" w14:textId="77777777" w:rsidR="00251A38" w:rsidRPr="002D61C1" w:rsidRDefault="00251A38" w:rsidP="00251A3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E7FE812" w14:textId="49A5DE34" w:rsidR="00AC0F62" w:rsidRPr="002D61C1" w:rsidRDefault="00251A38" w:rsidP="00251A38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Art. 1</w:t>
      </w:r>
      <w:r w:rsidR="006E5ED2">
        <w:rPr>
          <w:rFonts w:ascii="Arial Narrow" w:hAnsi="Arial Narrow"/>
          <w:b/>
          <w:bCs/>
          <w:sz w:val="16"/>
          <w:szCs w:val="16"/>
        </w:rPr>
        <w:t>0</w:t>
      </w:r>
      <w:r w:rsidRPr="002D61C1">
        <w:rPr>
          <w:rFonts w:ascii="Arial Narrow" w:hAnsi="Arial Narrow"/>
          <w:sz w:val="16"/>
          <w:szCs w:val="16"/>
        </w:rPr>
        <w:t xml:space="preserve"> – </w:t>
      </w:r>
      <w:r w:rsidR="0027111E" w:rsidRPr="002D61C1">
        <w:rPr>
          <w:rFonts w:ascii="Arial Narrow" w:hAnsi="Arial Narrow"/>
          <w:sz w:val="16"/>
          <w:szCs w:val="16"/>
        </w:rPr>
        <w:t>As doações oriundas de termos de ajustamento de conduta (TAC), acordos judiciais ou extrajudiciais deverão observar os mesmos critérios desta Deliberação, mediante parecer prévio da Assessoria Jurídica da entidade equiparada à agência de bacia.</w:t>
      </w:r>
    </w:p>
    <w:p w14:paraId="1E80A8C5" w14:textId="77777777" w:rsidR="003023FC" w:rsidRPr="002D61C1" w:rsidRDefault="003023FC" w:rsidP="00251A3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5EBDB5B" w14:textId="6EA59CA2" w:rsidR="00262F2C" w:rsidRPr="002D61C1" w:rsidRDefault="00262F2C" w:rsidP="00262F2C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 xml:space="preserve">Art. </w:t>
      </w:r>
      <w:r w:rsidR="00DD6C32" w:rsidRPr="002D61C1">
        <w:rPr>
          <w:rFonts w:ascii="Arial Narrow" w:hAnsi="Arial Narrow"/>
          <w:b/>
          <w:bCs/>
          <w:sz w:val="16"/>
          <w:szCs w:val="16"/>
        </w:rPr>
        <w:t>1</w:t>
      </w:r>
      <w:r w:rsidR="006E5ED2">
        <w:rPr>
          <w:rFonts w:ascii="Arial Narrow" w:hAnsi="Arial Narrow"/>
          <w:b/>
          <w:bCs/>
          <w:sz w:val="16"/>
          <w:szCs w:val="16"/>
        </w:rPr>
        <w:t>1</w:t>
      </w:r>
      <w:r w:rsidRPr="002D61C1">
        <w:rPr>
          <w:rFonts w:ascii="Arial Narrow" w:hAnsi="Arial Narrow"/>
          <w:sz w:val="16"/>
          <w:szCs w:val="16"/>
        </w:rPr>
        <w:t xml:space="preserve"> – Esta Deliberação Normativa entra em vigor na data de sua aprovação pelo plenário do CBH xxxxxxxx.</w:t>
      </w:r>
    </w:p>
    <w:p w14:paraId="26C7B15C" w14:textId="77777777" w:rsidR="00262F2C" w:rsidRPr="002D61C1" w:rsidRDefault="00262F2C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22C302C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440DB88" w14:textId="3925014F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  <w:r w:rsidRPr="002D61C1">
        <w:rPr>
          <w:rFonts w:ascii="Arial Narrow" w:hAnsi="Arial Narrow"/>
          <w:sz w:val="16"/>
          <w:szCs w:val="16"/>
        </w:rPr>
        <w:t xml:space="preserve">xxxxxxx, xx de xxxxxxx de 202x. </w:t>
      </w:r>
    </w:p>
    <w:p w14:paraId="1732B831" w14:textId="77777777" w:rsidR="00002E24" w:rsidRPr="002D61C1" w:rsidRDefault="00002E24" w:rsidP="00002E24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6BE69B99" w14:textId="7C046EBB" w:rsidR="00E97326" w:rsidRPr="002D61C1" w:rsidRDefault="00E97326" w:rsidP="00002E24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________________________________</w:t>
      </w:r>
    </w:p>
    <w:p w14:paraId="0FD0E3BB" w14:textId="21844F65" w:rsidR="00002E24" w:rsidRPr="002D61C1" w:rsidRDefault="00002E24" w:rsidP="00002E24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  <w:r w:rsidRPr="002D61C1">
        <w:rPr>
          <w:rFonts w:ascii="Arial Narrow" w:hAnsi="Arial Narrow"/>
          <w:b/>
          <w:bCs/>
          <w:sz w:val="16"/>
          <w:szCs w:val="16"/>
        </w:rPr>
        <w:t>XXXXXXXXXXXX</w:t>
      </w:r>
    </w:p>
    <w:p w14:paraId="6BD51FDE" w14:textId="588DB6B2" w:rsidR="00CD302A" w:rsidRPr="00E260B3" w:rsidRDefault="00002E24" w:rsidP="00ED0116">
      <w:pPr>
        <w:spacing w:after="0"/>
        <w:jc w:val="center"/>
        <w:rPr>
          <w:rFonts w:ascii="Arial Narrow" w:eastAsia="Times New Roman" w:hAnsi="Arial Narrow" w:cs="Calibri"/>
          <w:color w:val="000000"/>
          <w:lang w:eastAsia="pt-BR"/>
        </w:rPr>
      </w:pPr>
      <w:r w:rsidRPr="002D61C1">
        <w:rPr>
          <w:rFonts w:ascii="Arial Narrow" w:hAnsi="Arial Narrow"/>
          <w:sz w:val="16"/>
          <w:szCs w:val="16"/>
        </w:rPr>
        <w:t>Presidente CBH XXXXXXXXXXX</w:t>
      </w:r>
    </w:p>
    <w:sectPr w:rsidR="00CD302A" w:rsidRPr="00E260B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7B4D" w14:textId="77777777" w:rsidR="002527A8" w:rsidRDefault="002527A8" w:rsidP="00B83307">
      <w:pPr>
        <w:spacing w:after="0" w:line="240" w:lineRule="auto"/>
      </w:pPr>
      <w:r>
        <w:separator/>
      </w:r>
    </w:p>
  </w:endnote>
  <w:endnote w:type="continuationSeparator" w:id="0">
    <w:p w14:paraId="61A3C260" w14:textId="77777777" w:rsidR="002527A8" w:rsidRDefault="002527A8" w:rsidP="00B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F077" w14:textId="77777777" w:rsidR="00406BCB" w:rsidRPr="002D61C1" w:rsidRDefault="00406BCB" w:rsidP="00406BCB">
    <w:pPr>
      <w:pStyle w:val="Rodap"/>
      <w:pBdr>
        <w:bottom w:val="single" w:sz="6" w:space="1" w:color="auto"/>
      </w:pBdr>
      <w:jc w:val="center"/>
      <w:rPr>
        <w:sz w:val="16"/>
        <w:szCs w:val="16"/>
      </w:rPr>
    </w:pPr>
    <w:r w:rsidRPr="002D61C1">
      <w:rPr>
        <w:rFonts w:ascii="Arial" w:hAnsi="Arial"/>
        <w:b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3E1CAEB2" wp14:editId="25E3BC16">
          <wp:simplePos x="0" y="0"/>
          <wp:positionH relativeFrom="column">
            <wp:posOffset>5274945</wp:posOffset>
          </wp:positionH>
          <wp:positionV relativeFrom="paragraph">
            <wp:posOffset>-37465</wp:posOffset>
          </wp:positionV>
          <wp:extent cx="621030" cy="469265"/>
          <wp:effectExtent l="0" t="0" r="7620" b="6985"/>
          <wp:wrapSquare wrapText="bothSides"/>
          <wp:docPr id="570253656" name="Imagem 570253656" descr="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"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6E2A8" w14:textId="799498D8" w:rsidR="00406BCB" w:rsidRPr="002D61C1" w:rsidRDefault="00406BCB" w:rsidP="00406BCB">
    <w:pPr>
      <w:pStyle w:val="Rodap"/>
      <w:jc w:val="center"/>
      <w:rPr>
        <w:sz w:val="14"/>
        <w:szCs w:val="14"/>
      </w:rPr>
    </w:pPr>
    <w:r w:rsidRPr="002D61C1">
      <w:rPr>
        <w:sz w:val="14"/>
        <w:szCs w:val="14"/>
      </w:rPr>
      <w:t xml:space="preserve">Rua Carijós, 166 - 5º andar - Centro - Belo Horizonte - MG - 30.120-060 </w:t>
    </w:r>
    <w:r w:rsidRPr="002D61C1">
      <w:rPr>
        <w:sz w:val="14"/>
        <w:szCs w:val="14"/>
      </w:rPr>
      <w:br/>
      <w:t>Tel.: (31) 3207-8500 E-mail: agenciapeixevivo@agenciapeixevivo.org.br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4F03" w14:textId="77777777" w:rsidR="002527A8" w:rsidRDefault="002527A8" w:rsidP="00B83307">
      <w:pPr>
        <w:spacing w:after="0" w:line="240" w:lineRule="auto"/>
      </w:pPr>
      <w:r>
        <w:separator/>
      </w:r>
    </w:p>
  </w:footnote>
  <w:footnote w:type="continuationSeparator" w:id="0">
    <w:p w14:paraId="089450BE" w14:textId="77777777" w:rsidR="002527A8" w:rsidRDefault="002527A8" w:rsidP="00B8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A25B" w14:textId="58A6821E" w:rsidR="00B83307" w:rsidRDefault="00B83307">
    <w:pPr>
      <w:pStyle w:val="Cabealho"/>
    </w:pPr>
    <w:r>
      <w:t xml:space="preserve">                                                                  </w:t>
    </w:r>
    <w:r w:rsidRPr="00F96FA2">
      <w:rPr>
        <w:noProof/>
      </w:rPr>
      <w:drawing>
        <wp:inline distT="0" distB="0" distL="0" distR="0" wp14:anchorId="7ED61CE3" wp14:editId="02B3E0F9">
          <wp:extent cx="1330960" cy="552450"/>
          <wp:effectExtent l="0" t="0" r="2540" b="0"/>
          <wp:docPr id="136791102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1102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2294D" w14:textId="77777777" w:rsidR="00B83307" w:rsidRDefault="00B8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3ED"/>
    <w:multiLevelType w:val="hybridMultilevel"/>
    <w:tmpl w:val="9C4212DC"/>
    <w:lvl w:ilvl="0" w:tplc="04160017">
      <w:start w:val="1"/>
      <w:numFmt w:val="lowerLetter"/>
      <w:lvlText w:val="%1)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78F4B1D"/>
    <w:multiLevelType w:val="hybridMultilevel"/>
    <w:tmpl w:val="FD1255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A989788">
      <w:start w:val="5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016"/>
    <w:multiLevelType w:val="multilevel"/>
    <w:tmpl w:val="46DE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35341"/>
    <w:multiLevelType w:val="multilevel"/>
    <w:tmpl w:val="4C86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530296">
    <w:abstractNumId w:val="3"/>
  </w:num>
  <w:num w:numId="2" w16cid:durableId="1072309483">
    <w:abstractNumId w:val="2"/>
  </w:num>
  <w:num w:numId="3" w16cid:durableId="1399864588">
    <w:abstractNumId w:val="1"/>
  </w:num>
  <w:num w:numId="4" w16cid:durableId="5663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FB"/>
    <w:rsid w:val="00000B59"/>
    <w:rsid w:val="00002E24"/>
    <w:rsid w:val="000054CA"/>
    <w:rsid w:val="0001453E"/>
    <w:rsid w:val="00020286"/>
    <w:rsid w:val="00020EF4"/>
    <w:rsid w:val="00021381"/>
    <w:rsid w:val="00030824"/>
    <w:rsid w:val="00032E90"/>
    <w:rsid w:val="00046CFF"/>
    <w:rsid w:val="0006122A"/>
    <w:rsid w:val="00061568"/>
    <w:rsid w:val="00061E99"/>
    <w:rsid w:val="000B1C32"/>
    <w:rsid w:val="000C066A"/>
    <w:rsid w:val="000C2C5E"/>
    <w:rsid w:val="000D5421"/>
    <w:rsid w:val="000E2222"/>
    <w:rsid w:val="000E72AA"/>
    <w:rsid w:val="000F43A8"/>
    <w:rsid w:val="000F7FCF"/>
    <w:rsid w:val="00101E1D"/>
    <w:rsid w:val="0010284B"/>
    <w:rsid w:val="00103CD7"/>
    <w:rsid w:val="0011126E"/>
    <w:rsid w:val="0011736C"/>
    <w:rsid w:val="00123515"/>
    <w:rsid w:val="00127AB8"/>
    <w:rsid w:val="001311B4"/>
    <w:rsid w:val="00135DE3"/>
    <w:rsid w:val="001427EE"/>
    <w:rsid w:val="00143C2B"/>
    <w:rsid w:val="00146D9B"/>
    <w:rsid w:val="00150324"/>
    <w:rsid w:val="00154F5C"/>
    <w:rsid w:val="00156A41"/>
    <w:rsid w:val="00160F30"/>
    <w:rsid w:val="00163CC2"/>
    <w:rsid w:val="001702DA"/>
    <w:rsid w:val="0017229C"/>
    <w:rsid w:val="001731D8"/>
    <w:rsid w:val="0017461D"/>
    <w:rsid w:val="0018054B"/>
    <w:rsid w:val="00180D4E"/>
    <w:rsid w:val="00187827"/>
    <w:rsid w:val="00196664"/>
    <w:rsid w:val="001A569E"/>
    <w:rsid w:val="001A5DCB"/>
    <w:rsid w:val="001A61B1"/>
    <w:rsid w:val="001B1C8F"/>
    <w:rsid w:val="001B2078"/>
    <w:rsid w:val="001B3039"/>
    <w:rsid w:val="001B380A"/>
    <w:rsid w:val="001D0151"/>
    <w:rsid w:val="001E387C"/>
    <w:rsid w:val="001E6DE1"/>
    <w:rsid w:val="001F420A"/>
    <w:rsid w:val="00203CEB"/>
    <w:rsid w:val="00213ADC"/>
    <w:rsid w:val="00215567"/>
    <w:rsid w:val="0022096B"/>
    <w:rsid w:val="002346A3"/>
    <w:rsid w:val="00240BDB"/>
    <w:rsid w:val="00243221"/>
    <w:rsid w:val="00251A38"/>
    <w:rsid w:val="002527A8"/>
    <w:rsid w:val="00262F2C"/>
    <w:rsid w:val="00263872"/>
    <w:rsid w:val="00266824"/>
    <w:rsid w:val="0027111E"/>
    <w:rsid w:val="002717D0"/>
    <w:rsid w:val="002759C5"/>
    <w:rsid w:val="00283C44"/>
    <w:rsid w:val="00284869"/>
    <w:rsid w:val="00290121"/>
    <w:rsid w:val="002A01F4"/>
    <w:rsid w:val="002A4AD9"/>
    <w:rsid w:val="002B6B96"/>
    <w:rsid w:val="002C15C6"/>
    <w:rsid w:val="002C5EE6"/>
    <w:rsid w:val="002D61C1"/>
    <w:rsid w:val="002E11ED"/>
    <w:rsid w:val="002E3923"/>
    <w:rsid w:val="002F4109"/>
    <w:rsid w:val="003002C5"/>
    <w:rsid w:val="003023FC"/>
    <w:rsid w:val="00306B15"/>
    <w:rsid w:val="00322266"/>
    <w:rsid w:val="0032506F"/>
    <w:rsid w:val="00330ACB"/>
    <w:rsid w:val="00344AF9"/>
    <w:rsid w:val="00351316"/>
    <w:rsid w:val="003535AF"/>
    <w:rsid w:val="003969CD"/>
    <w:rsid w:val="003A3B1F"/>
    <w:rsid w:val="003A58FC"/>
    <w:rsid w:val="003A778E"/>
    <w:rsid w:val="003B25E1"/>
    <w:rsid w:val="003B2B47"/>
    <w:rsid w:val="003C5066"/>
    <w:rsid w:val="003C7380"/>
    <w:rsid w:val="003D0108"/>
    <w:rsid w:val="003D20D1"/>
    <w:rsid w:val="003E29FC"/>
    <w:rsid w:val="003F29F1"/>
    <w:rsid w:val="003F5074"/>
    <w:rsid w:val="003F67AB"/>
    <w:rsid w:val="003F6CF2"/>
    <w:rsid w:val="00406BCB"/>
    <w:rsid w:val="00413FF4"/>
    <w:rsid w:val="00415076"/>
    <w:rsid w:val="004234F9"/>
    <w:rsid w:val="004334C5"/>
    <w:rsid w:val="00441FF7"/>
    <w:rsid w:val="00442E38"/>
    <w:rsid w:val="00456D5E"/>
    <w:rsid w:val="004616A2"/>
    <w:rsid w:val="0046176D"/>
    <w:rsid w:val="00462AF4"/>
    <w:rsid w:val="004764EE"/>
    <w:rsid w:val="004877D6"/>
    <w:rsid w:val="004A29A7"/>
    <w:rsid w:val="004B1F57"/>
    <w:rsid w:val="004C17AA"/>
    <w:rsid w:val="004D3E3A"/>
    <w:rsid w:val="004E21A3"/>
    <w:rsid w:val="004E4AA5"/>
    <w:rsid w:val="004F4406"/>
    <w:rsid w:val="004F4869"/>
    <w:rsid w:val="00502F17"/>
    <w:rsid w:val="00504C6A"/>
    <w:rsid w:val="0051361A"/>
    <w:rsid w:val="005179A0"/>
    <w:rsid w:val="00522E21"/>
    <w:rsid w:val="00523345"/>
    <w:rsid w:val="00542865"/>
    <w:rsid w:val="0055237B"/>
    <w:rsid w:val="00554E4F"/>
    <w:rsid w:val="00556A38"/>
    <w:rsid w:val="0056291D"/>
    <w:rsid w:val="00567939"/>
    <w:rsid w:val="0057041E"/>
    <w:rsid w:val="00570A0A"/>
    <w:rsid w:val="00571D40"/>
    <w:rsid w:val="005823C8"/>
    <w:rsid w:val="00584A89"/>
    <w:rsid w:val="0058789A"/>
    <w:rsid w:val="00590672"/>
    <w:rsid w:val="005A290D"/>
    <w:rsid w:val="005A29E6"/>
    <w:rsid w:val="005B16DA"/>
    <w:rsid w:val="005B6F00"/>
    <w:rsid w:val="005D0E26"/>
    <w:rsid w:val="005D361F"/>
    <w:rsid w:val="005D588A"/>
    <w:rsid w:val="005E3710"/>
    <w:rsid w:val="005E3B92"/>
    <w:rsid w:val="005F43C4"/>
    <w:rsid w:val="006112E2"/>
    <w:rsid w:val="006432E5"/>
    <w:rsid w:val="00644B5D"/>
    <w:rsid w:val="006619E9"/>
    <w:rsid w:val="00663D17"/>
    <w:rsid w:val="00666A4A"/>
    <w:rsid w:val="00666E00"/>
    <w:rsid w:val="006677C0"/>
    <w:rsid w:val="00683234"/>
    <w:rsid w:val="00687B79"/>
    <w:rsid w:val="006A5C63"/>
    <w:rsid w:val="006B103D"/>
    <w:rsid w:val="006B2092"/>
    <w:rsid w:val="006B2639"/>
    <w:rsid w:val="006D0178"/>
    <w:rsid w:val="006D0484"/>
    <w:rsid w:val="006E4DE9"/>
    <w:rsid w:val="006E5580"/>
    <w:rsid w:val="006E5ED2"/>
    <w:rsid w:val="006F48C5"/>
    <w:rsid w:val="006F6272"/>
    <w:rsid w:val="007049C2"/>
    <w:rsid w:val="00705501"/>
    <w:rsid w:val="00710BE1"/>
    <w:rsid w:val="00710E37"/>
    <w:rsid w:val="00715D98"/>
    <w:rsid w:val="007247A9"/>
    <w:rsid w:val="0073196E"/>
    <w:rsid w:val="00735601"/>
    <w:rsid w:val="00736735"/>
    <w:rsid w:val="007608F5"/>
    <w:rsid w:val="00762C3F"/>
    <w:rsid w:val="00766AFF"/>
    <w:rsid w:val="00777BD5"/>
    <w:rsid w:val="00782EFD"/>
    <w:rsid w:val="007B5A5B"/>
    <w:rsid w:val="007C3DE3"/>
    <w:rsid w:val="007D1A4B"/>
    <w:rsid w:val="007D3964"/>
    <w:rsid w:val="007D4206"/>
    <w:rsid w:val="007E2A58"/>
    <w:rsid w:val="007E5F95"/>
    <w:rsid w:val="007E61D0"/>
    <w:rsid w:val="007E6306"/>
    <w:rsid w:val="007F0D71"/>
    <w:rsid w:val="007F145F"/>
    <w:rsid w:val="007F57DD"/>
    <w:rsid w:val="00801076"/>
    <w:rsid w:val="00822706"/>
    <w:rsid w:val="008267C7"/>
    <w:rsid w:val="00830A8D"/>
    <w:rsid w:val="00831F89"/>
    <w:rsid w:val="00832548"/>
    <w:rsid w:val="00877E9A"/>
    <w:rsid w:val="008846D4"/>
    <w:rsid w:val="008A013F"/>
    <w:rsid w:val="008A61BE"/>
    <w:rsid w:val="008B2807"/>
    <w:rsid w:val="008B679A"/>
    <w:rsid w:val="008C4B95"/>
    <w:rsid w:val="008D3321"/>
    <w:rsid w:val="008D4799"/>
    <w:rsid w:val="008E29D7"/>
    <w:rsid w:val="008E4256"/>
    <w:rsid w:val="008F00C7"/>
    <w:rsid w:val="008F13E4"/>
    <w:rsid w:val="008F6625"/>
    <w:rsid w:val="009003CF"/>
    <w:rsid w:val="009008B3"/>
    <w:rsid w:val="00913EA7"/>
    <w:rsid w:val="00943B0B"/>
    <w:rsid w:val="009522FB"/>
    <w:rsid w:val="00953306"/>
    <w:rsid w:val="00954535"/>
    <w:rsid w:val="00955114"/>
    <w:rsid w:val="0096147D"/>
    <w:rsid w:val="00965B4D"/>
    <w:rsid w:val="0097551E"/>
    <w:rsid w:val="009B06C5"/>
    <w:rsid w:val="009D4492"/>
    <w:rsid w:val="009D46D1"/>
    <w:rsid w:val="009D6B2F"/>
    <w:rsid w:val="009E0391"/>
    <w:rsid w:val="009E476E"/>
    <w:rsid w:val="00A243CC"/>
    <w:rsid w:val="00A26CA7"/>
    <w:rsid w:val="00A47B3C"/>
    <w:rsid w:val="00A5613F"/>
    <w:rsid w:val="00A63CEA"/>
    <w:rsid w:val="00A64F2E"/>
    <w:rsid w:val="00A65F93"/>
    <w:rsid w:val="00A71449"/>
    <w:rsid w:val="00A949C6"/>
    <w:rsid w:val="00A95825"/>
    <w:rsid w:val="00AA6EF9"/>
    <w:rsid w:val="00AC0F62"/>
    <w:rsid w:val="00AD52CC"/>
    <w:rsid w:val="00AD672D"/>
    <w:rsid w:val="00AD76C7"/>
    <w:rsid w:val="00AE0D48"/>
    <w:rsid w:val="00AE59C2"/>
    <w:rsid w:val="00AF045E"/>
    <w:rsid w:val="00AF35F9"/>
    <w:rsid w:val="00AF5493"/>
    <w:rsid w:val="00B01059"/>
    <w:rsid w:val="00B11CA0"/>
    <w:rsid w:val="00B15AC2"/>
    <w:rsid w:val="00B17F1B"/>
    <w:rsid w:val="00B22BAF"/>
    <w:rsid w:val="00B25042"/>
    <w:rsid w:val="00B313D9"/>
    <w:rsid w:val="00B41425"/>
    <w:rsid w:val="00B54401"/>
    <w:rsid w:val="00B67289"/>
    <w:rsid w:val="00B70FEB"/>
    <w:rsid w:val="00B751A6"/>
    <w:rsid w:val="00B81845"/>
    <w:rsid w:val="00B83307"/>
    <w:rsid w:val="00B83ECE"/>
    <w:rsid w:val="00B97553"/>
    <w:rsid w:val="00BA5D84"/>
    <w:rsid w:val="00BB0CAD"/>
    <w:rsid w:val="00BB448B"/>
    <w:rsid w:val="00BB4B7B"/>
    <w:rsid w:val="00BB681E"/>
    <w:rsid w:val="00BC1B26"/>
    <w:rsid w:val="00BC6AE9"/>
    <w:rsid w:val="00BD640D"/>
    <w:rsid w:val="00BE3FDB"/>
    <w:rsid w:val="00BE459B"/>
    <w:rsid w:val="00BE75C9"/>
    <w:rsid w:val="00C0266B"/>
    <w:rsid w:val="00C05653"/>
    <w:rsid w:val="00C11592"/>
    <w:rsid w:val="00C12672"/>
    <w:rsid w:val="00C129DA"/>
    <w:rsid w:val="00C136B3"/>
    <w:rsid w:val="00C14493"/>
    <w:rsid w:val="00C175CC"/>
    <w:rsid w:val="00C17ABF"/>
    <w:rsid w:val="00C22058"/>
    <w:rsid w:val="00C257AE"/>
    <w:rsid w:val="00C34650"/>
    <w:rsid w:val="00C40BA2"/>
    <w:rsid w:val="00C40BC1"/>
    <w:rsid w:val="00C54B8A"/>
    <w:rsid w:val="00C5548A"/>
    <w:rsid w:val="00C55C6C"/>
    <w:rsid w:val="00C63F6D"/>
    <w:rsid w:val="00C738AA"/>
    <w:rsid w:val="00C77C69"/>
    <w:rsid w:val="00C83963"/>
    <w:rsid w:val="00C930A5"/>
    <w:rsid w:val="00CA100E"/>
    <w:rsid w:val="00CC2C69"/>
    <w:rsid w:val="00CD0E15"/>
    <w:rsid w:val="00CD302A"/>
    <w:rsid w:val="00CE0A68"/>
    <w:rsid w:val="00CE2649"/>
    <w:rsid w:val="00CE3CFB"/>
    <w:rsid w:val="00D042CC"/>
    <w:rsid w:val="00D241C1"/>
    <w:rsid w:val="00D25AA8"/>
    <w:rsid w:val="00D30AD7"/>
    <w:rsid w:val="00D429D9"/>
    <w:rsid w:val="00D43940"/>
    <w:rsid w:val="00D44027"/>
    <w:rsid w:val="00D47234"/>
    <w:rsid w:val="00D54467"/>
    <w:rsid w:val="00D54C33"/>
    <w:rsid w:val="00D551A0"/>
    <w:rsid w:val="00D607AD"/>
    <w:rsid w:val="00D63BD9"/>
    <w:rsid w:val="00D70A39"/>
    <w:rsid w:val="00D8537C"/>
    <w:rsid w:val="00D913DD"/>
    <w:rsid w:val="00D923B8"/>
    <w:rsid w:val="00D95558"/>
    <w:rsid w:val="00DA3F82"/>
    <w:rsid w:val="00DD18EF"/>
    <w:rsid w:val="00DD26E8"/>
    <w:rsid w:val="00DD29E1"/>
    <w:rsid w:val="00DD6C32"/>
    <w:rsid w:val="00DD7F92"/>
    <w:rsid w:val="00DE02A3"/>
    <w:rsid w:val="00DE1FF6"/>
    <w:rsid w:val="00DE559F"/>
    <w:rsid w:val="00DE7C4F"/>
    <w:rsid w:val="00E034DE"/>
    <w:rsid w:val="00E104C3"/>
    <w:rsid w:val="00E14288"/>
    <w:rsid w:val="00E217FA"/>
    <w:rsid w:val="00E21CCB"/>
    <w:rsid w:val="00E260B3"/>
    <w:rsid w:val="00E31647"/>
    <w:rsid w:val="00E34005"/>
    <w:rsid w:val="00E40846"/>
    <w:rsid w:val="00E412C6"/>
    <w:rsid w:val="00E5229F"/>
    <w:rsid w:val="00E556C6"/>
    <w:rsid w:val="00E63565"/>
    <w:rsid w:val="00E63869"/>
    <w:rsid w:val="00E712EB"/>
    <w:rsid w:val="00E72BA8"/>
    <w:rsid w:val="00E81D5A"/>
    <w:rsid w:val="00E8660F"/>
    <w:rsid w:val="00E949CE"/>
    <w:rsid w:val="00E959C7"/>
    <w:rsid w:val="00E97326"/>
    <w:rsid w:val="00EA2192"/>
    <w:rsid w:val="00EA45C0"/>
    <w:rsid w:val="00EA72F5"/>
    <w:rsid w:val="00EB21D7"/>
    <w:rsid w:val="00EB52E0"/>
    <w:rsid w:val="00EC3DB1"/>
    <w:rsid w:val="00EC74ED"/>
    <w:rsid w:val="00ED0116"/>
    <w:rsid w:val="00ED020A"/>
    <w:rsid w:val="00ED260C"/>
    <w:rsid w:val="00ED6C5C"/>
    <w:rsid w:val="00EE33CA"/>
    <w:rsid w:val="00EF1ADB"/>
    <w:rsid w:val="00EF4F07"/>
    <w:rsid w:val="00F02822"/>
    <w:rsid w:val="00F2536C"/>
    <w:rsid w:val="00F420A2"/>
    <w:rsid w:val="00F44CA6"/>
    <w:rsid w:val="00F532CF"/>
    <w:rsid w:val="00F56A41"/>
    <w:rsid w:val="00F61E91"/>
    <w:rsid w:val="00F62E95"/>
    <w:rsid w:val="00F65F9A"/>
    <w:rsid w:val="00F72B62"/>
    <w:rsid w:val="00FA4695"/>
    <w:rsid w:val="00FC358B"/>
    <w:rsid w:val="00FD270D"/>
    <w:rsid w:val="00FD33FA"/>
    <w:rsid w:val="00FE06CE"/>
    <w:rsid w:val="00FE0A75"/>
    <w:rsid w:val="00FE34FC"/>
    <w:rsid w:val="00FE3600"/>
    <w:rsid w:val="00FE7029"/>
    <w:rsid w:val="00FF0EAF"/>
    <w:rsid w:val="00FF4DFE"/>
    <w:rsid w:val="29548E0D"/>
    <w:rsid w:val="3BE3CF32"/>
    <w:rsid w:val="58861F86"/>
    <w:rsid w:val="6BB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3ED3"/>
  <w15:chartTrackingRefBased/>
  <w15:docId w15:val="{7B37D94F-23A3-4879-B736-42E52577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2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2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2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2FB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9522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2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2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2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307"/>
  </w:style>
  <w:style w:type="paragraph" w:styleId="Rodap">
    <w:name w:val="footer"/>
    <w:basedOn w:val="Normal"/>
    <w:link w:val="RodapChar"/>
    <w:uiPriority w:val="99"/>
    <w:unhideWhenUsed/>
    <w:rsid w:val="00B8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307"/>
  </w:style>
  <w:style w:type="paragraph" w:styleId="NormalWeb">
    <w:name w:val="Normal (Web)"/>
    <w:basedOn w:val="Normal"/>
    <w:uiPriority w:val="99"/>
    <w:semiHidden/>
    <w:unhideWhenUsed/>
    <w:rsid w:val="00A71449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39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39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3940"/>
    <w:rPr>
      <w:vertAlign w:val="superscript"/>
    </w:rPr>
  </w:style>
  <w:style w:type="character" w:customStyle="1" w:styleId="PargrafodaListaChar">
    <w:name w:val="Parágrafo da Lista Char"/>
    <w:link w:val="PargrafodaLista"/>
    <w:uiPriority w:val="34"/>
    <w:locked/>
    <w:rsid w:val="00215567"/>
  </w:style>
  <w:style w:type="table" w:styleId="Tabelacomgrade">
    <w:name w:val="Table Grid"/>
    <w:basedOn w:val="Tabelanormal"/>
    <w:uiPriority w:val="39"/>
    <w:rsid w:val="00EF1A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160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e um novo documento." ma:contentTypeScope="" ma:versionID="eadc47486862481050709367df605130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481fd6f5fca6f7e3bd7e22db48653e42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D75C-E016-4D1C-AA7E-DC622BA69159}">
  <ds:schemaRefs>
    <ds:schemaRef ds:uri="http://schemas.microsoft.com/office/2006/metadata/properties"/>
    <ds:schemaRef ds:uri="http://schemas.microsoft.com/office/infopath/2007/PartnerControls"/>
    <ds:schemaRef ds:uri="b3687bb2-c6dd-4fff-bef6-7c25a2b724ef"/>
    <ds:schemaRef ds:uri="9fee6d06-6168-480f-858c-51f50dd24550"/>
  </ds:schemaRefs>
</ds:datastoreItem>
</file>

<file path=customXml/itemProps2.xml><?xml version="1.0" encoding="utf-8"?>
<ds:datastoreItem xmlns:ds="http://schemas.openxmlformats.org/officeDocument/2006/customXml" ds:itemID="{6849D54F-98CA-4BFE-BF6A-2E6D5689B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B6EC8-3BD7-4612-B5D3-E0FF384AC530}"/>
</file>

<file path=customXml/itemProps4.xml><?xml version="1.0" encoding="utf-8"?>
<ds:datastoreItem xmlns:ds="http://schemas.openxmlformats.org/officeDocument/2006/customXml" ds:itemID="{1D2A6A9C-5A4B-4FF2-8970-2B2B5A24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1227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Isadora de Almeida Leite</dc:creator>
  <cp:keywords/>
  <dc:description/>
  <cp:lastModifiedBy>Taís Passos Guimarães</cp:lastModifiedBy>
  <cp:revision>21</cp:revision>
  <cp:lastPrinted>2025-08-13T19:26:00Z</cp:lastPrinted>
  <dcterms:created xsi:type="dcterms:W3CDTF">2025-08-26T19:05:00Z</dcterms:created>
  <dcterms:modified xsi:type="dcterms:W3CDTF">2025-08-27T19:44:00Z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