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4957" w14:textId="4F4063A4" w:rsidR="008A6908" w:rsidRDefault="00760521" w:rsidP="00760521">
      <w:pPr>
        <w:spacing w:line="360" w:lineRule="auto"/>
        <w:jc w:val="both"/>
        <w:rPr>
          <w:rFonts w:ascii="Arial" w:hAnsi="Arial" w:cs="Arial"/>
          <w:sz w:val="23"/>
          <w:szCs w:val="23"/>
        </w:rPr>
      </w:pPr>
      <w:r w:rsidRPr="0099415B">
        <w:rPr>
          <w:rFonts w:ascii="Arial" w:hAnsi="Arial" w:cs="Arial"/>
          <w:sz w:val="23"/>
          <w:szCs w:val="23"/>
        </w:rPr>
        <w:t xml:space="preserve">ATA da </w:t>
      </w:r>
      <w:r>
        <w:rPr>
          <w:rFonts w:ascii="Arial" w:hAnsi="Arial" w:cs="Arial"/>
          <w:sz w:val="23"/>
          <w:szCs w:val="23"/>
        </w:rPr>
        <w:t>45</w:t>
      </w:r>
      <w:r w:rsidRPr="0099415B">
        <w:rPr>
          <w:rFonts w:ascii="Arial" w:hAnsi="Arial" w:cs="Arial"/>
          <w:sz w:val="23"/>
          <w:szCs w:val="23"/>
        </w:rPr>
        <w:t xml:space="preserve">ª REUNIÃO </w:t>
      </w:r>
      <w:r>
        <w:rPr>
          <w:rFonts w:ascii="Arial" w:hAnsi="Arial" w:cs="Arial"/>
          <w:sz w:val="23"/>
          <w:szCs w:val="23"/>
        </w:rPr>
        <w:t>EXTR</w:t>
      </w:r>
      <w:r w:rsidRPr="0099415B">
        <w:rPr>
          <w:rFonts w:ascii="Arial" w:hAnsi="Arial" w:cs="Arial"/>
          <w:sz w:val="23"/>
          <w:szCs w:val="23"/>
        </w:rPr>
        <w:t xml:space="preserve">ORDINÁRIA DO CBH PIRACICABA, realizada </w:t>
      </w:r>
      <w:r>
        <w:rPr>
          <w:rFonts w:ascii="Arial" w:hAnsi="Arial" w:cs="Arial"/>
          <w:sz w:val="23"/>
          <w:szCs w:val="23"/>
        </w:rPr>
        <w:t xml:space="preserve">de modo virtual no dia vinte e quatro </w:t>
      </w:r>
      <w:r w:rsidRPr="007379C0">
        <w:rPr>
          <w:rFonts w:ascii="Arial" w:hAnsi="Arial" w:cs="Arial"/>
          <w:sz w:val="23"/>
          <w:szCs w:val="23"/>
        </w:rPr>
        <w:t>de fevereiro de 2025, das 14h às 16h.</w:t>
      </w:r>
      <w:r w:rsidR="007379C0">
        <w:rPr>
          <w:rFonts w:ascii="Arial" w:hAnsi="Arial" w:cs="Arial"/>
          <w:sz w:val="23"/>
          <w:szCs w:val="23"/>
        </w:rPr>
        <w:t xml:space="preserve"> Dando </w:t>
      </w:r>
      <w:r>
        <w:rPr>
          <w:rFonts w:ascii="Arial" w:hAnsi="Arial" w:cs="Arial"/>
          <w:sz w:val="23"/>
          <w:szCs w:val="23"/>
        </w:rPr>
        <w:t>início às atividades, a</w:t>
      </w:r>
      <w:r w:rsidRPr="00295674">
        <w:rPr>
          <w:rFonts w:ascii="Arial" w:hAnsi="Arial" w:cs="Arial"/>
          <w:sz w:val="23"/>
          <w:szCs w:val="23"/>
        </w:rPr>
        <w:t xml:space="preserve"> analista da secretaria executiva Juliana Vilela Pinto</w:t>
      </w:r>
      <w:r w:rsidR="00362707">
        <w:rPr>
          <w:rFonts w:ascii="Arial" w:hAnsi="Arial" w:cs="Arial"/>
          <w:sz w:val="23"/>
          <w:szCs w:val="23"/>
        </w:rPr>
        <w:t>,</w:t>
      </w:r>
      <w:r w:rsidRPr="00295674">
        <w:rPr>
          <w:rFonts w:ascii="Arial" w:hAnsi="Arial" w:cs="Arial"/>
          <w:sz w:val="23"/>
          <w:szCs w:val="23"/>
        </w:rPr>
        <w:t xml:space="preserve"> AGEDOCE, </w:t>
      </w:r>
      <w:r>
        <w:rPr>
          <w:rFonts w:ascii="Arial" w:hAnsi="Arial" w:cs="Arial"/>
          <w:sz w:val="23"/>
          <w:szCs w:val="23"/>
        </w:rPr>
        <w:t>passou</w:t>
      </w:r>
      <w:r w:rsidRPr="00295674">
        <w:rPr>
          <w:rFonts w:ascii="Arial" w:hAnsi="Arial" w:cs="Arial"/>
          <w:sz w:val="23"/>
          <w:szCs w:val="23"/>
        </w:rPr>
        <w:t xml:space="preserve"> a palavra para o presidente Jorge Martins Borges</w:t>
      </w:r>
      <w:r w:rsidR="00362707">
        <w:rPr>
          <w:rFonts w:ascii="Arial" w:hAnsi="Arial" w:cs="Arial"/>
          <w:sz w:val="23"/>
          <w:szCs w:val="23"/>
        </w:rPr>
        <w:t>,</w:t>
      </w:r>
      <w:r w:rsidRPr="00295674">
        <w:rPr>
          <w:rFonts w:ascii="Arial" w:hAnsi="Arial" w:cs="Arial"/>
          <w:sz w:val="23"/>
          <w:szCs w:val="23"/>
        </w:rPr>
        <w:t xml:space="preserve"> que cumprimentou a todos, agradeceu a AGEDOCE pelo apoio e desejou boa tarde de trabalho. Juliana agradeceu a palavra, compartilhou a planilha de verificação de quórum contendo 36 conselheiros votantes e confirmando em primeira chamada</w:t>
      </w:r>
      <w:r w:rsidR="00362707">
        <w:rPr>
          <w:rFonts w:ascii="Arial" w:hAnsi="Arial" w:cs="Arial"/>
          <w:sz w:val="23"/>
          <w:szCs w:val="23"/>
        </w:rPr>
        <w:t xml:space="preserve"> o quórum</w:t>
      </w:r>
      <w:r w:rsidRPr="00295674">
        <w:rPr>
          <w:rFonts w:ascii="Arial" w:hAnsi="Arial" w:cs="Arial"/>
          <w:sz w:val="23"/>
          <w:szCs w:val="23"/>
        </w:rPr>
        <w:t xml:space="preserve">, vinte e </w:t>
      </w:r>
      <w:r>
        <w:rPr>
          <w:rFonts w:ascii="Arial" w:hAnsi="Arial" w:cs="Arial"/>
          <w:sz w:val="23"/>
          <w:szCs w:val="23"/>
        </w:rPr>
        <w:t>quatro</w:t>
      </w:r>
      <w:r w:rsidRPr="00295674">
        <w:rPr>
          <w:rFonts w:ascii="Arial" w:hAnsi="Arial" w:cs="Arial"/>
          <w:sz w:val="23"/>
          <w:szCs w:val="23"/>
        </w:rPr>
        <w:t xml:space="preserve"> representantes das instituições presentes</w:t>
      </w:r>
      <w:r>
        <w:rPr>
          <w:rFonts w:ascii="Arial" w:hAnsi="Arial" w:cs="Arial"/>
          <w:sz w:val="23"/>
          <w:szCs w:val="23"/>
        </w:rPr>
        <w:t xml:space="preserve"> e votantes</w:t>
      </w:r>
      <w:r w:rsidRPr="00295674">
        <w:rPr>
          <w:rFonts w:ascii="Arial" w:hAnsi="Arial" w:cs="Arial"/>
          <w:sz w:val="23"/>
          <w:szCs w:val="23"/>
        </w:rPr>
        <w:t>.</w:t>
      </w:r>
      <w:r>
        <w:rPr>
          <w:rFonts w:ascii="Arial" w:hAnsi="Arial" w:cs="Arial"/>
          <w:color w:val="ED0000"/>
          <w:sz w:val="23"/>
          <w:szCs w:val="23"/>
        </w:rPr>
        <w:t xml:space="preserve"> </w:t>
      </w:r>
      <w:r>
        <w:rPr>
          <w:rFonts w:ascii="Arial" w:hAnsi="Arial" w:cs="Arial"/>
          <w:sz w:val="23"/>
          <w:szCs w:val="23"/>
        </w:rPr>
        <w:t xml:space="preserve">Continuando, passou-se para o segundo item da pauta sendo </w:t>
      </w:r>
      <w:r w:rsidRPr="00582767">
        <w:rPr>
          <w:rFonts w:ascii="Arial" w:hAnsi="Arial" w:cs="Arial"/>
          <w:bCs/>
          <w:sz w:val="23"/>
          <w:szCs w:val="23"/>
        </w:rPr>
        <w:t xml:space="preserve">Aprovação da ata da 44ª Reunião Extraordinária, realizada </w:t>
      </w:r>
      <w:r>
        <w:rPr>
          <w:rFonts w:ascii="Arial" w:hAnsi="Arial" w:cs="Arial"/>
          <w:bCs/>
          <w:sz w:val="23"/>
          <w:szCs w:val="23"/>
        </w:rPr>
        <w:t>presencialmente n</w:t>
      </w:r>
      <w:r w:rsidRPr="00582767">
        <w:rPr>
          <w:rFonts w:ascii="Arial" w:hAnsi="Arial" w:cs="Arial"/>
          <w:bCs/>
          <w:sz w:val="23"/>
          <w:szCs w:val="23"/>
        </w:rPr>
        <w:t xml:space="preserve">o dia </w:t>
      </w:r>
      <w:r>
        <w:rPr>
          <w:rFonts w:ascii="Arial" w:hAnsi="Arial" w:cs="Arial"/>
          <w:bCs/>
          <w:sz w:val="23"/>
          <w:szCs w:val="23"/>
        </w:rPr>
        <w:t xml:space="preserve">sete de novembro de 2024. Em função da não participação na reunião anterior, houve pedido de abstenção dos conselheiros </w:t>
      </w:r>
      <w:r w:rsidRPr="00F43D13">
        <w:rPr>
          <w:rFonts w:ascii="Arial" w:hAnsi="Arial" w:cs="Arial"/>
          <w:bCs/>
          <w:sz w:val="23"/>
          <w:szCs w:val="23"/>
        </w:rPr>
        <w:t>Flávia Lage Reis</w:t>
      </w:r>
      <w:r>
        <w:rPr>
          <w:rFonts w:ascii="Arial" w:hAnsi="Arial" w:cs="Arial"/>
          <w:bCs/>
          <w:sz w:val="23"/>
          <w:szCs w:val="23"/>
        </w:rPr>
        <w:t>, Tamila</w:t>
      </w:r>
      <w:r w:rsidR="00DB1743">
        <w:rPr>
          <w:rFonts w:ascii="Arial" w:hAnsi="Arial" w:cs="Arial"/>
          <w:bCs/>
          <w:sz w:val="23"/>
          <w:szCs w:val="23"/>
        </w:rPr>
        <w:t xml:space="preserve"> Bravim</w:t>
      </w:r>
      <w:r>
        <w:rPr>
          <w:rFonts w:ascii="Arial" w:hAnsi="Arial" w:cs="Arial"/>
          <w:bCs/>
          <w:sz w:val="23"/>
          <w:szCs w:val="23"/>
        </w:rPr>
        <w:t xml:space="preserve">, Lucas Costa Bicalho, Januária da Fonseca Malaquias, José Rubenildo dos Santos, Ricardo Costa, </w:t>
      </w:r>
      <w:r w:rsidRPr="006C17C4">
        <w:rPr>
          <w:rFonts w:ascii="Arial" w:hAnsi="Arial" w:cs="Arial"/>
          <w:bCs/>
          <w:sz w:val="23"/>
          <w:szCs w:val="23"/>
        </w:rPr>
        <w:t>Demerson Aparecido Lima Muniz</w:t>
      </w:r>
      <w:r>
        <w:rPr>
          <w:rFonts w:ascii="Arial" w:hAnsi="Arial" w:cs="Arial"/>
          <w:bCs/>
          <w:sz w:val="23"/>
          <w:szCs w:val="23"/>
        </w:rPr>
        <w:t>, Rodrigo Borges de Barros</w:t>
      </w:r>
      <w:r w:rsidR="00C475B4">
        <w:rPr>
          <w:rFonts w:ascii="Arial" w:hAnsi="Arial" w:cs="Arial"/>
          <w:bCs/>
          <w:sz w:val="23"/>
          <w:szCs w:val="23"/>
        </w:rPr>
        <w:t xml:space="preserve"> e </w:t>
      </w:r>
      <w:r>
        <w:rPr>
          <w:rFonts w:ascii="Arial" w:hAnsi="Arial" w:cs="Arial"/>
          <w:bCs/>
          <w:sz w:val="23"/>
          <w:szCs w:val="23"/>
        </w:rPr>
        <w:t>Marcelo Ferreira de Souza. Ata aprovada, decorreu-se para o item de</w:t>
      </w:r>
      <w:r w:rsidRPr="00582767">
        <w:rPr>
          <w:rFonts w:ascii="Arial" w:hAnsi="Arial" w:cs="Arial"/>
          <w:bCs/>
          <w:sz w:val="23"/>
          <w:szCs w:val="23"/>
        </w:rPr>
        <w:t xml:space="preserve"> Deliberação dos Processos de Outorga nº 60.701/2022 e 60.703/2022 – [ARCELOR MITTAL]</w:t>
      </w:r>
      <w:r>
        <w:rPr>
          <w:rFonts w:ascii="Arial" w:hAnsi="Arial" w:cs="Arial"/>
          <w:bCs/>
          <w:sz w:val="23"/>
          <w:szCs w:val="23"/>
        </w:rPr>
        <w:t>. Juliana esclarece que foram convidados a estarem presentes o empreendedor, a URGA</w:t>
      </w:r>
      <w:r w:rsidR="00DB1743">
        <w:rPr>
          <w:rFonts w:ascii="Arial" w:hAnsi="Arial" w:cs="Arial"/>
          <w:bCs/>
          <w:sz w:val="23"/>
          <w:szCs w:val="23"/>
        </w:rPr>
        <w:t>,</w:t>
      </w:r>
      <w:r>
        <w:rPr>
          <w:rFonts w:ascii="Arial" w:hAnsi="Arial" w:cs="Arial"/>
          <w:bCs/>
          <w:sz w:val="23"/>
          <w:szCs w:val="23"/>
        </w:rPr>
        <w:t xml:space="preserve"> responsável pela análise e o técnico da AGEDOCE</w:t>
      </w:r>
      <w:r w:rsidR="00DB1743">
        <w:rPr>
          <w:rFonts w:ascii="Arial" w:hAnsi="Arial" w:cs="Arial"/>
          <w:bCs/>
          <w:sz w:val="23"/>
          <w:szCs w:val="23"/>
        </w:rPr>
        <w:t>,</w:t>
      </w:r>
      <w:r>
        <w:rPr>
          <w:rFonts w:ascii="Arial" w:hAnsi="Arial" w:cs="Arial"/>
          <w:bCs/>
          <w:sz w:val="23"/>
          <w:szCs w:val="23"/>
        </w:rPr>
        <w:t xml:space="preserve"> que emitiu o parecer a partir dos dados recebidos. Foi realizada uma reunião das Câmaras Técnicas CTIL e CTOC</w:t>
      </w:r>
      <w:r w:rsidR="00980A75">
        <w:rPr>
          <w:rFonts w:ascii="Arial" w:hAnsi="Arial" w:cs="Arial"/>
          <w:bCs/>
          <w:sz w:val="23"/>
          <w:szCs w:val="23"/>
        </w:rPr>
        <w:t>,</w:t>
      </w:r>
      <w:r>
        <w:rPr>
          <w:rFonts w:ascii="Arial" w:hAnsi="Arial" w:cs="Arial"/>
          <w:bCs/>
          <w:sz w:val="23"/>
          <w:szCs w:val="23"/>
        </w:rPr>
        <w:t xml:space="preserve"> cujo parecer</w:t>
      </w:r>
      <w:r w:rsidR="00980A75">
        <w:rPr>
          <w:rFonts w:ascii="Arial" w:hAnsi="Arial" w:cs="Arial"/>
          <w:bCs/>
          <w:sz w:val="23"/>
          <w:szCs w:val="23"/>
        </w:rPr>
        <w:t xml:space="preserve"> favorável ao deferimento foi</w:t>
      </w:r>
      <w:r>
        <w:rPr>
          <w:rFonts w:ascii="Arial" w:hAnsi="Arial" w:cs="Arial"/>
          <w:bCs/>
          <w:sz w:val="23"/>
          <w:szCs w:val="23"/>
        </w:rPr>
        <w:t xml:space="preserve"> encaminhado aos conselheiros. Ela agradece a mobilização de todos que, em caráter de urgência, estão finalizando a tramitação antes do prazo de 60 dias requerido pela DN do CNRH. Tendo todo o rito sido cumprido e o processo criteriosamente analisado. A princípio passou-se a palavra ao empreendedor, representado por seu colaborador Marcelo Afonso</w:t>
      </w:r>
      <w:r w:rsidR="00091B67">
        <w:rPr>
          <w:rFonts w:ascii="Arial" w:hAnsi="Arial" w:cs="Arial"/>
          <w:bCs/>
          <w:sz w:val="23"/>
          <w:szCs w:val="23"/>
        </w:rPr>
        <w:t xml:space="preserve"> Buffon</w:t>
      </w:r>
      <w:r>
        <w:rPr>
          <w:rFonts w:ascii="Arial" w:hAnsi="Arial" w:cs="Arial"/>
          <w:bCs/>
          <w:sz w:val="23"/>
          <w:szCs w:val="23"/>
        </w:rPr>
        <w:t xml:space="preserve">, Gerente de Meio Ambiente, para apresentar suscintamente o que está sendo requerido, sendo a oportunidade direcionada a Michel Falqueto, técnico da Mina do Andrade. Este iniciou apresentando os processos que estão em discussão no momento, sendo: dois </w:t>
      </w:r>
      <w:r w:rsidRPr="00582767">
        <w:rPr>
          <w:rFonts w:ascii="Arial" w:hAnsi="Arial" w:cs="Arial"/>
          <w:bCs/>
          <w:sz w:val="23"/>
          <w:szCs w:val="23"/>
        </w:rPr>
        <w:t>Processos de Outorga n.</w:t>
      </w:r>
      <w:r>
        <w:rPr>
          <w:rFonts w:ascii="Arial" w:hAnsi="Arial" w:cs="Arial"/>
          <w:bCs/>
          <w:sz w:val="23"/>
          <w:szCs w:val="23"/>
        </w:rPr>
        <w:t>º</w:t>
      </w:r>
      <w:r w:rsidRPr="00582767">
        <w:rPr>
          <w:rFonts w:ascii="Arial" w:hAnsi="Arial" w:cs="Arial"/>
          <w:bCs/>
          <w:sz w:val="23"/>
          <w:szCs w:val="23"/>
        </w:rPr>
        <w:t xml:space="preserve"> 60.701/2022 e 60.703/2022</w:t>
      </w:r>
      <w:r w:rsidR="006A50A4">
        <w:rPr>
          <w:rFonts w:ascii="Arial" w:hAnsi="Arial" w:cs="Arial"/>
          <w:bCs/>
          <w:sz w:val="23"/>
          <w:szCs w:val="23"/>
        </w:rPr>
        <w:t>,</w:t>
      </w:r>
      <w:r>
        <w:rPr>
          <w:rFonts w:ascii="Arial" w:hAnsi="Arial" w:cs="Arial"/>
          <w:bCs/>
          <w:sz w:val="23"/>
          <w:szCs w:val="23"/>
        </w:rPr>
        <w:t xml:space="preserve"> ambos solicitados pela ARCELOR MITTAL Mina do Andrade. </w:t>
      </w:r>
      <w:r>
        <w:rPr>
          <w:rFonts w:ascii="Arial" w:hAnsi="Arial" w:cs="Arial"/>
          <w:sz w:val="23"/>
          <w:szCs w:val="23"/>
        </w:rPr>
        <w:t>P</w:t>
      </w:r>
      <w:r w:rsidRPr="00187F4F">
        <w:rPr>
          <w:rFonts w:ascii="Arial" w:hAnsi="Arial" w:cs="Arial"/>
          <w:sz w:val="23"/>
          <w:szCs w:val="23"/>
        </w:rPr>
        <w:t>or meio de um software topográfico, apresentou as características geográficas do empreendimento</w:t>
      </w:r>
      <w:r>
        <w:rPr>
          <w:rFonts w:ascii="Arial" w:hAnsi="Arial" w:cs="Arial"/>
          <w:bCs/>
          <w:sz w:val="23"/>
          <w:szCs w:val="23"/>
        </w:rPr>
        <w:t xml:space="preserve"> mostrando que em virtude de uma expansão das atividades que estão concentradas em João Monlevade, Bela Vista de Minas e Itabira, será preciso avanço da cava de mineração de áreas de disposição de estéril. As estruturas que estão sendo licenciadas são as Pilhas de Disposição de Estéril PDE-09 e PDE-11. A primeira refere-se ao Processo de </w:t>
      </w:r>
      <w:r>
        <w:rPr>
          <w:rFonts w:ascii="Arial" w:hAnsi="Arial" w:cs="Arial"/>
          <w:bCs/>
          <w:sz w:val="23"/>
          <w:szCs w:val="23"/>
        </w:rPr>
        <w:lastRenderedPageBreak/>
        <w:t xml:space="preserve">Outorga de nº 60.701/2022, solicitando a canalização do curso d’água de três nascentes nomeadas por N20, N21 e N22. Elas serão transformadas em drenos de fundo usados para canalização dos cursos hídricos sem nome, posicionados à margem direita do Rio Santa Bárbara. </w:t>
      </w:r>
      <w:r>
        <w:rPr>
          <w:rFonts w:ascii="Arial" w:hAnsi="Arial" w:cs="Arial"/>
          <w:sz w:val="23"/>
          <w:szCs w:val="23"/>
        </w:rPr>
        <w:t>O</w:t>
      </w:r>
      <w:r w:rsidRPr="00187F4F">
        <w:rPr>
          <w:rFonts w:ascii="Arial" w:hAnsi="Arial" w:cs="Arial"/>
          <w:sz w:val="23"/>
          <w:szCs w:val="23"/>
        </w:rPr>
        <w:t xml:space="preserve"> segundo </w:t>
      </w:r>
      <w:r>
        <w:rPr>
          <w:rFonts w:ascii="Arial" w:hAnsi="Arial" w:cs="Arial"/>
          <w:bCs/>
          <w:sz w:val="23"/>
          <w:szCs w:val="23"/>
        </w:rPr>
        <w:t xml:space="preserve">Processo de Outorga de nº 60.703/2022 </w:t>
      </w:r>
      <w:r w:rsidRPr="00187F4F">
        <w:rPr>
          <w:rFonts w:ascii="Arial" w:hAnsi="Arial" w:cs="Arial"/>
          <w:sz w:val="23"/>
          <w:szCs w:val="23"/>
        </w:rPr>
        <w:t xml:space="preserve">contempla a drenagem das estruturas da PDE-11 que também foi solicitada a canalização da nascente N28 </w:t>
      </w:r>
      <w:r>
        <w:rPr>
          <w:rFonts w:ascii="Arial" w:hAnsi="Arial" w:cs="Arial"/>
          <w:sz w:val="23"/>
          <w:szCs w:val="23"/>
        </w:rPr>
        <w:t xml:space="preserve">e </w:t>
      </w:r>
      <w:r w:rsidRPr="00187F4F">
        <w:rPr>
          <w:rFonts w:ascii="Arial" w:hAnsi="Arial" w:cs="Arial"/>
          <w:sz w:val="23"/>
          <w:szCs w:val="23"/>
        </w:rPr>
        <w:t>de um</w:t>
      </w:r>
      <w:r>
        <w:rPr>
          <w:rFonts w:ascii="Arial" w:hAnsi="Arial" w:cs="Arial"/>
          <w:sz w:val="23"/>
          <w:szCs w:val="23"/>
        </w:rPr>
        <w:t>a</w:t>
      </w:r>
      <w:r w:rsidRPr="00187F4F">
        <w:rPr>
          <w:rFonts w:ascii="Arial" w:hAnsi="Arial" w:cs="Arial"/>
          <w:sz w:val="23"/>
          <w:szCs w:val="23"/>
        </w:rPr>
        <w:t xml:space="preserve"> dren</w:t>
      </w:r>
      <w:r>
        <w:rPr>
          <w:rFonts w:ascii="Arial" w:hAnsi="Arial" w:cs="Arial"/>
          <w:sz w:val="23"/>
          <w:szCs w:val="23"/>
        </w:rPr>
        <w:t>agem</w:t>
      </w:r>
      <w:r w:rsidRPr="00187F4F">
        <w:rPr>
          <w:rFonts w:ascii="Arial" w:hAnsi="Arial" w:cs="Arial"/>
          <w:sz w:val="23"/>
          <w:szCs w:val="23"/>
        </w:rPr>
        <w:t xml:space="preserve"> de fundo que, já é de uma pilha licenciada</w:t>
      </w:r>
      <w:r>
        <w:rPr>
          <w:rFonts w:ascii="Arial" w:hAnsi="Arial" w:cs="Arial"/>
          <w:sz w:val="23"/>
          <w:szCs w:val="23"/>
        </w:rPr>
        <w:t xml:space="preserve"> denominada pilha 08. </w:t>
      </w:r>
      <w:r>
        <w:rPr>
          <w:rFonts w:ascii="Arial" w:hAnsi="Arial" w:cs="Arial"/>
          <w:bCs/>
          <w:sz w:val="23"/>
          <w:szCs w:val="23"/>
        </w:rPr>
        <w:t>Michel apresenta o histórico de tramitação dos processos explicando que já foi deferido tecnicamente e juridicamente pelo IGAM, e encaminhado ao CBH em vinte de janeiro deste ano para aprovação. Ele foi protocolado no Sistema Eletrônico de Informação em dezembro de 2022, foi deferido pela URGA LM em outubro de 2023 sendo emitido o parecer técnico jurídico e favorável em outubro de 2024</w:t>
      </w:r>
      <w:r w:rsidR="005905A6">
        <w:rPr>
          <w:rFonts w:ascii="Arial" w:hAnsi="Arial" w:cs="Arial"/>
          <w:bCs/>
          <w:sz w:val="23"/>
          <w:szCs w:val="23"/>
        </w:rPr>
        <w:t>,</w:t>
      </w:r>
      <w:r>
        <w:rPr>
          <w:rFonts w:ascii="Arial" w:hAnsi="Arial" w:cs="Arial"/>
          <w:bCs/>
          <w:sz w:val="23"/>
          <w:szCs w:val="23"/>
        </w:rPr>
        <w:t xml:space="preserve"> indicando o envio ao Comitê de Bacias devido ao porte do empreendimento. Dando continuidade, no dia seis de fevereiro deste ano, a AGEDOCE recomendou o deferimento</w:t>
      </w:r>
      <w:r w:rsidR="00ED7A41">
        <w:rPr>
          <w:rFonts w:ascii="Arial" w:hAnsi="Arial" w:cs="Arial"/>
          <w:bCs/>
          <w:sz w:val="23"/>
          <w:szCs w:val="23"/>
        </w:rPr>
        <w:t>, por meio de Parecer Técnico,</w:t>
      </w:r>
      <w:r>
        <w:rPr>
          <w:rFonts w:ascii="Arial" w:hAnsi="Arial" w:cs="Arial"/>
          <w:bCs/>
          <w:sz w:val="23"/>
          <w:szCs w:val="23"/>
        </w:rPr>
        <w:t xml:space="preserve"> e</w:t>
      </w:r>
      <w:r w:rsidR="00ED7A41">
        <w:rPr>
          <w:rFonts w:ascii="Arial" w:hAnsi="Arial" w:cs="Arial"/>
          <w:bCs/>
          <w:sz w:val="23"/>
          <w:szCs w:val="23"/>
        </w:rPr>
        <w:t>,</w:t>
      </w:r>
      <w:r>
        <w:rPr>
          <w:rFonts w:ascii="Arial" w:hAnsi="Arial" w:cs="Arial"/>
          <w:bCs/>
          <w:sz w:val="23"/>
          <w:szCs w:val="23"/>
        </w:rPr>
        <w:t xml:space="preserve"> no dia 14 do mesmo mês</w:t>
      </w:r>
      <w:r w:rsidR="00ED7A41">
        <w:rPr>
          <w:rFonts w:ascii="Arial" w:hAnsi="Arial" w:cs="Arial"/>
          <w:bCs/>
          <w:sz w:val="23"/>
          <w:szCs w:val="23"/>
        </w:rPr>
        <w:t>,</w:t>
      </w:r>
      <w:r>
        <w:rPr>
          <w:rFonts w:ascii="Arial" w:hAnsi="Arial" w:cs="Arial"/>
          <w:bCs/>
          <w:sz w:val="23"/>
          <w:szCs w:val="23"/>
        </w:rPr>
        <w:t xml:space="preserve"> </w:t>
      </w:r>
      <w:r w:rsidR="00ED7A41">
        <w:rPr>
          <w:rFonts w:ascii="Arial" w:hAnsi="Arial" w:cs="Arial"/>
          <w:bCs/>
          <w:sz w:val="23"/>
          <w:szCs w:val="23"/>
        </w:rPr>
        <w:t>houve recomendação favorável</w:t>
      </w:r>
      <w:r>
        <w:rPr>
          <w:rFonts w:ascii="Arial" w:hAnsi="Arial" w:cs="Arial"/>
          <w:bCs/>
          <w:sz w:val="23"/>
          <w:szCs w:val="23"/>
        </w:rPr>
        <w:t xml:space="preserve"> das Câmaras Técnicas CTIL e CTOC</w:t>
      </w:r>
      <w:r w:rsidR="00ED7A41">
        <w:rPr>
          <w:rFonts w:ascii="Arial" w:hAnsi="Arial" w:cs="Arial"/>
          <w:bCs/>
          <w:sz w:val="23"/>
          <w:szCs w:val="23"/>
        </w:rPr>
        <w:t>, conforme parecer técnico encaminhado junto com a convocatória</w:t>
      </w:r>
      <w:r>
        <w:rPr>
          <w:rFonts w:ascii="Arial" w:hAnsi="Arial" w:cs="Arial"/>
          <w:bCs/>
          <w:sz w:val="23"/>
          <w:szCs w:val="23"/>
        </w:rPr>
        <w:t xml:space="preserve">. Termina sua apresentação colocando-se à disposição para esclarecimentos. </w:t>
      </w:r>
      <w:r w:rsidRPr="00187F4F">
        <w:rPr>
          <w:rFonts w:ascii="Arial" w:hAnsi="Arial" w:cs="Arial"/>
          <w:sz w:val="23"/>
          <w:szCs w:val="23"/>
        </w:rPr>
        <w:t>A seguir</w:t>
      </w:r>
      <w:r w:rsidR="00ED7A41">
        <w:rPr>
          <w:rFonts w:ascii="Arial" w:hAnsi="Arial" w:cs="Arial"/>
          <w:sz w:val="23"/>
          <w:szCs w:val="23"/>
        </w:rPr>
        <w:t>,</w:t>
      </w:r>
      <w:r w:rsidRPr="00187F4F">
        <w:rPr>
          <w:rFonts w:ascii="Arial" w:hAnsi="Arial" w:cs="Arial"/>
          <w:sz w:val="23"/>
          <w:szCs w:val="23"/>
        </w:rPr>
        <w:t xml:space="preserve"> foi dada a oportunidade</w:t>
      </w:r>
      <w:r>
        <w:rPr>
          <w:rFonts w:ascii="Arial" w:hAnsi="Arial" w:cs="Arial"/>
          <w:sz w:val="23"/>
          <w:szCs w:val="23"/>
        </w:rPr>
        <w:t xml:space="preserve"> ao coordenador da URGA LM</w:t>
      </w:r>
      <w:r w:rsidR="00ED7A41">
        <w:rPr>
          <w:rFonts w:ascii="Arial" w:hAnsi="Arial" w:cs="Arial"/>
          <w:sz w:val="23"/>
          <w:szCs w:val="23"/>
        </w:rPr>
        <w:t>,</w:t>
      </w:r>
      <w:r>
        <w:rPr>
          <w:rFonts w:ascii="Arial" w:hAnsi="Arial" w:cs="Arial"/>
          <w:sz w:val="23"/>
          <w:szCs w:val="23"/>
        </w:rPr>
        <w:t xml:space="preserve"> Sr. Wyllia</w:t>
      </w:r>
      <w:r w:rsidR="009B15EC">
        <w:rPr>
          <w:rFonts w:ascii="Arial" w:hAnsi="Arial" w:cs="Arial"/>
          <w:sz w:val="23"/>
          <w:szCs w:val="23"/>
        </w:rPr>
        <w:t>m</w:t>
      </w:r>
      <w:r>
        <w:rPr>
          <w:rFonts w:ascii="Arial" w:hAnsi="Arial" w:cs="Arial"/>
          <w:sz w:val="23"/>
          <w:szCs w:val="23"/>
        </w:rPr>
        <w:t xml:space="preserve"> Melo</w:t>
      </w:r>
      <w:r w:rsidR="00ED7A41">
        <w:rPr>
          <w:rFonts w:ascii="Arial" w:hAnsi="Arial" w:cs="Arial"/>
          <w:sz w:val="23"/>
          <w:szCs w:val="23"/>
        </w:rPr>
        <w:t>,</w:t>
      </w:r>
      <w:r>
        <w:rPr>
          <w:rFonts w:ascii="Arial" w:hAnsi="Arial" w:cs="Arial"/>
          <w:sz w:val="23"/>
          <w:szCs w:val="23"/>
        </w:rPr>
        <w:t xml:space="preserve"> para apresentar os pareceres técnicos em relação aos processos. Ele cumprimenta a todos e esclarece que a análise do processo foi feita pelo Sr. Níve</w:t>
      </w:r>
      <w:r w:rsidR="00F95F61">
        <w:rPr>
          <w:rFonts w:ascii="Arial" w:hAnsi="Arial" w:cs="Arial"/>
          <w:sz w:val="23"/>
          <w:szCs w:val="23"/>
        </w:rPr>
        <w:t>o</w:t>
      </w:r>
      <w:r>
        <w:rPr>
          <w:rFonts w:ascii="Arial" w:hAnsi="Arial" w:cs="Arial"/>
          <w:sz w:val="23"/>
          <w:szCs w:val="23"/>
        </w:rPr>
        <w:t xml:space="preserve"> Dutra. O parecer da Outorga 60.701/2022 que se refere ao Sistema de Drenagem Interna (Drenos de Fundo) da Pilha de Disposição de Estéril PDE-09 relata que a extensão total da intervenção de todos os drenos é de 2 km e a área de drenagem total sendo de 1,55 km quadrados. A área total útil da pilha de estéril é de 0,7 km quadrado e de acordo com a portaria 48 de 2019 – IGAM, drenos de fundo com área útil acima de 0,4 km quadrado são consideradas pilhas de estéril de grande porte. Não foi colocada, no parecer técnico, nenhuma condicionante pelo fato de que, após o processo ser vinculado ao licenciamento a data dos dois será a mesma. A publicação da Outorga depende do licenciamento. E o monitoramento realizado pelo empreendedor foi mais completo do que o exigido na Outorga. Seguindo, foi apresentado o parecer técnico da Outorga 60.703/2022, sendo uma Pilha de Disposição de Estéril intitulada PDE-11, localizada ao lado da PDE-09 com cursos d’água diferentes.  Sua área total útil é de 0,411</w:t>
      </w:r>
      <w:r w:rsidR="00D114D1">
        <w:rPr>
          <w:rFonts w:ascii="Arial" w:hAnsi="Arial" w:cs="Arial"/>
          <w:sz w:val="23"/>
          <w:szCs w:val="23"/>
        </w:rPr>
        <w:t xml:space="preserve"> </w:t>
      </w:r>
      <w:r>
        <w:rPr>
          <w:rFonts w:ascii="Arial" w:hAnsi="Arial" w:cs="Arial"/>
          <w:sz w:val="23"/>
          <w:szCs w:val="23"/>
        </w:rPr>
        <w:t xml:space="preserve">km quadrados considerada também de grande porte. Haja vista que o empreendedor </w:t>
      </w:r>
      <w:r>
        <w:rPr>
          <w:rFonts w:ascii="Arial" w:hAnsi="Arial" w:cs="Arial"/>
          <w:sz w:val="23"/>
          <w:szCs w:val="23"/>
        </w:rPr>
        <w:lastRenderedPageBreak/>
        <w:t>entregou de forma correta todo o termo de referência, a equipe técnica da URGA LM considera satisfatórios os estudos e informações técnicas apresentadas, recomendando, juntamente com a opinião do IGAM, ao deferimento dos dois Processos de Outorga em questão</w:t>
      </w:r>
      <w:r w:rsidR="00B96CEF">
        <w:rPr>
          <w:rFonts w:ascii="Arial" w:hAnsi="Arial" w:cs="Arial"/>
          <w:sz w:val="23"/>
          <w:szCs w:val="23"/>
        </w:rPr>
        <w:t xml:space="preserve"> sem inserção</w:t>
      </w:r>
      <w:r w:rsidR="0094129B">
        <w:rPr>
          <w:rFonts w:ascii="Arial" w:hAnsi="Arial" w:cs="Arial"/>
          <w:sz w:val="23"/>
          <w:szCs w:val="23"/>
        </w:rPr>
        <w:t xml:space="preserve"> de condicionantes</w:t>
      </w:r>
      <w:r>
        <w:rPr>
          <w:rFonts w:ascii="Arial" w:hAnsi="Arial" w:cs="Arial"/>
          <w:sz w:val="23"/>
          <w:szCs w:val="23"/>
        </w:rPr>
        <w:t>. Agradece a oportunidade, colocando-se à disposição. Juliana pergunta se alguém tem alguma questão a esclarecer.</w:t>
      </w:r>
      <w:r w:rsidR="00C5269A">
        <w:rPr>
          <w:rFonts w:ascii="Arial" w:hAnsi="Arial" w:cs="Arial"/>
          <w:sz w:val="23"/>
          <w:szCs w:val="23"/>
        </w:rPr>
        <w:t xml:space="preserve"> </w:t>
      </w:r>
      <w:r>
        <w:rPr>
          <w:rFonts w:ascii="Arial" w:hAnsi="Arial" w:cs="Arial"/>
          <w:sz w:val="23"/>
          <w:szCs w:val="23"/>
        </w:rPr>
        <w:t xml:space="preserve">Paganini </w:t>
      </w:r>
      <w:r w:rsidR="00C5269A">
        <w:rPr>
          <w:rFonts w:ascii="Arial" w:hAnsi="Arial" w:cs="Arial"/>
          <w:sz w:val="23"/>
          <w:szCs w:val="23"/>
        </w:rPr>
        <w:t>sugere que</w:t>
      </w:r>
      <w:r w:rsidR="006E3B39">
        <w:rPr>
          <w:rFonts w:ascii="Arial" w:hAnsi="Arial" w:cs="Arial"/>
          <w:sz w:val="23"/>
          <w:szCs w:val="23"/>
        </w:rPr>
        <w:t xml:space="preserve"> no</w:t>
      </w:r>
      <w:r w:rsidR="00111FB9">
        <w:rPr>
          <w:rFonts w:ascii="Arial" w:hAnsi="Arial" w:cs="Arial"/>
          <w:sz w:val="23"/>
          <w:szCs w:val="23"/>
        </w:rPr>
        <w:t>s</w:t>
      </w:r>
      <w:r w:rsidR="00C5269A">
        <w:rPr>
          <w:rFonts w:ascii="Arial" w:hAnsi="Arial" w:cs="Arial"/>
          <w:sz w:val="23"/>
          <w:szCs w:val="23"/>
        </w:rPr>
        <w:t xml:space="preserve"> parecer</w:t>
      </w:r>
      <w:r w:rsidR="00111FB9">
        <w:rPr>
          <w:rFonts w:ascii="Arial" w:hAnsi="Arial" w:cs="Arial"/>
          <w:sz w:val="23"/>
          <w:szCs w:val="23"/>
        </w:rPr>
        <w:t>es</w:t>
      </w:r>
      <w:r w:rsidR="00C5269A">
        <w:rPr>
          <w:rFonts w:ascii="Arial" w:hAnsi="Arial" w:cs="Arial"/>
          <w:sz w:val="23"/>
          <w:szCs w:val="23"/>
        </w:rPr>
        <w:t xml:space="preserve"> da URGA</w:t>
      </w:r>
      <w:r>
        <w:rPr>
          <w:rFonts w:ascii="Arial" w:hAnsi="Arial" w:cs="Arial"/>
          <w:sz w:val="23"/>
          <w:szCs w:val="23"/>
        </w:rPr>
        <w:t xml:space="preserve"> </w:t>
      </w:r>
      <w:r w:rsidR="006E3B39">
        <w:rPr>
          <w:rFonts w:ascii="Arial" w:hAnsi="Arial" w:cs="Arial"/>
          <w:sz w:val="23"/>
          <w:szCs w:val="23"/>
        </w:rPr>
        <w:t xml:space="preserve">seja </w:t>
      </w:r>
      <w:r w:rsidR="00111FB9">
        <w:rPr>
          <w:rFonts w:ascii="Arial" w:hAnsi="Arial" w:cs="Arial"/>
          <w:sz w:val="23"/>
          <w:szCs w:val="23"/>
        </w:rPr>
        <w:t xml:space="preserve">colocado </w:t>
      </w:r>
      <w:r w:rsidR="006E3B39">
        <w:rPr>
          <w:rFonts w:ascii="Arial" w:hAnsi="Arial" w:cs="Arial"/>
          <w:sz w:val="23"/>
          <w:szCs w:val="23"/>
        </w:rPr>
        <w:t>análise</w:t>
      </w:r>
      <w:r w:rsidR="008441D6">
        <w:rPr>
          <w:rFonts w:ascii="Arial" w:hAnsi="Arial" w:cs="Arial"/>
          <w:sz w:val="23"/>
          <w:szCs w:val="23"/>
        </w:rPr>
        <w:t xml:space="preserve"> do enquadramento dos cursos d’água</w:t>
      </w:r>
      <w:r w:rsidR="003F365A">
        <w:rPr>
          <w:rFonts w:ascii="Arial" w:hAnsi="Arial" w:cs="Arial"/>
          <w:sz w:val="23"/>
          <w:szCs w:val="23"/>
        </w:rPr>
        <w:t>. Wyl</w:t>
      </w:r>
      <w:r w:rsidR="0031764C">
        <w:rPr>
          <w:rFonts w:ascii="Arial" w:hAnsi="Arial" w:cs="Arial"/>
          <w:sz w:val="23"/>
          <w:szCs w:val="23"/>
        </w:rPr>
        <w:t xml:space="preserve">lian Melo responde que </w:t>
      </w:r>
      <w:r w:rsidR="007878DA">
        <w:rPr>
          <w:rFonts w:ascii="Arial" w:hAnsi="Arial" w:cs="Arial"/>
          <w:sz w:val="23"/>
          <w:szCs w:val="23"/>
        </w:rPr>
        <w:t>pode ser colocado no parecer</w:t>
      </w:r>
      <w:r w:rsidR="00A90670">
        <w:rPr>
          <w:rFonts w:ascii="Arial" w:hAnsi="Arial" w:cs="Arial"/>
          <w:sz w:val="23"/>
          <w:szCs w:val="23"/>
        </w:rPr>
        <w:t>.</w:t>
      </w:r>
      <w:r>
        <w:rPr>
          <w:rFonts w:ascii="Arial" w:hAnsi="Arial" w:cs="Arial"/>
          <w:sz w:val="23"/>
          <w:szCs w:val="23"/>
        </w:rPr>
        <w:t xml:space="preserve">  </w:t>
      </w:r>
      <w:r w:rsidR="008636C9">
        <w:rPr>
          <w:rFonts w:ascii="Arial" w:hAnsi="Arial" w:cs="Arial"/>
          <w:sz w:val="23"/>
          <w:szCs w:val="23"/>
        </w:rPr>
        <w:t xml:space="preserve">Alex Cardoso </w:t>
      </w:r>
      <w:r w:rsidR="00A02F8E">
        <w:rPr>
          <w:rFonts w:ascii="Arial" w:hAnsi="Arial" w:cs="Arial"/>
          <w:sz w:val="23"/>
          <w:szCs w:val="23"/>
        </w:rPr>
        <w:t>da AGEDOCE</w:t>
      </w:r>
      <w:r w:rsidR="009D343C">
        <w:rPr>
          <w:rFonts w:ascii="Arial" w:hAnsi="Arial" w:cs="Arial"/>
          <w:sz w:val="23"/>
          <w:szCs w:val="23"/>
        </w:rPr>
        <w:t xml:space="preserve"> </w:t>
      </w:r>
      <w:r w:rsidR="00A02F8E">
        <w:rPr>
          <w:rFonts w:ascii="Arial" w:hAnsi="Arial" w:cs="Arial"/>
          <w:sz w:val="23"/>
          <w:szCs w:val="23"/>
        </w:rPr>
        <w:t>com a palavra</w:t>
      </w:r>
      <w:r w:rsidR="009D343C">
        <w:rPr>
          <w:rFonts w:ascii="Arial" w:hAnsi="Arial" w:cs="Arial"/>
          <w:sz w:val="23"/>
          <w:szCs w:val="23"/>
        </w:rPr>
        <w:t xml:space="preserve"> </w:t>
      </w:r>
      <w:r w:rsidR="00CB00F8">
        <w:rPr>
          <w:rFonts w:ascii="Arial" w:hAnsi="Arial" w:cs="Arial"/>
          <w:sz w:val="23"/>
          <w:szCs w:val="23"/>
        </w:rPr>
        <w:t>cumprimenta a todos</w:t>
      </w:r>
      <w:r w:rsidR="00583801">
        <w:rPr>
          <w:rFonts w:ascii="Arial" w:hAnsi="Arial" w:cs="Arial"/>
          <w:sz w:val="23"/>
          <w:szCs w:val="23"/>
        </w:rPr>
        <w:t xml:space="preserve"> e começa sua apresentação em relação </w:t>
      </w:r>
      <w:r w:rsidR="00C32E1B">
        <w:rPr>
          <w:rFonts w:ascii="Arial" w:hAnsi="Arial" w:cs="Arial"/>
          <w:sz w:val="23"/>
          <w:szCs w:val="23"/>
        </w:rPr>
        <w:t>à</w:t>
      </w:r>
      <w:r w:rsidR="00583801">
        <w:rPr>
          <w:rFonts w:ascii="Arial" w:hAnsi="Arial" w:cs="Arial"/>
          <w:sz w:val="23"/>
          <w:szCs w:val="23"/>
        </w:rPr>
        <w:t xml:space="preserve"> análise feita</w:t>
      </w:r>
      <w:r w:rsidR="00A64517">
        <w:rPr>
          <w:rFonts w:ascii="Arial" w:hAnsi="Arial" w:cs="Arial"/>
          <w:sz w:val="23"/>
          <w:szCs w:val="23"/>
        </w:rPr>
        <w:t xml:space="preserve">. </w:t>
      </w:r>
      <w:r w:rsidR="006E0388">
        <w:rPr>
          <w:rFonts w:ascii="Arial" w:hAnsi="Arial" w:cs="Arial"/>
          <w:sz w:val="23"/>
          <w:szCs w:val="23"/>
        </w:rPr>
        <w:t>Ele explana sobre o emprendimento como relatado anteriormente pelo emprendedor.</w:t>
      </w:r>
      <w:r w:rsidR="001B7685">
        <w:rPr>
          <w:rFonts w:ascii="Arial" w:hAnsi="Arial" w:cs="Arial"/>
          <w:sz w:val="23"/>
          <w:szCs w:val="23"/>
        </w:rPr>
        <w:t xml:space="preserve"> Referente a anális</w:t>
      </w:r>
      <w:r w:rsidR="00D4762C">
        <w:rPr>
          <w:rFonts w:ascii="Arial" w:hAnsi="Arial" w:cs="Arial"/>
          <w:sz w:val="23"/>
          <w:szCs w:val="23"/>
        </w:rPr>
        <w:t>e</w:t>
      </w:r>
      <w:r w:rsidR="001B7685">
        <w:rPr>
          <w:rFonts w:ascii="Arial" w:hAnsi="Arial" w:cs="Arial"/>
          <w:sz w:val="23"/>
          <w:szCs w:val="23"/>
        </w:rPr>
        <w:t xml:space="preserve"> da AGEDOCE como subsísio às Câmaras Ténicas</w:t>
      </w:r>
      <w:r w:rsidR="00861794">
        <w:rPr>
          <w:rFonts w:ascii="Arial" w:hAnsi="Arial" w:cs="Arial"/>
          <w:sz w:val="23"/>
          <w:szCs w:val="23"/>
        </w:rPr>
        <w:t xml:space="preserve"> e ao CBH-Piracicaba</w:t>
      </w:r>
      <w:r w:rsidR="00D4762C">
        <w:rPr>
          <w:rFonts w:ascii="Arial" w:hAnsi="Arial" w:cs="Arial"/>
          <w:sz w:val="23"/>
          <w:szCs w:val="23"/>
        </w:rPr>
        <w:t xml:space="preserve">, </w:t>
      </w:r>
      <w:r w:rsidR="00CF6D53">
        <w:rPr>
          <w:rFonts w:ascii="Arial" w:hAnsi="Arial" w:cs="Arial"/>
          <w:sz w:val="23"/>
          <w:szCs w:val="23"/>
        </w:rPr>
        <w:t>é considerado</w:t>
      </w:r>
      <w:r w:rsidR="0094129B">
        <w:rPr>
          <w:rFonts w:ascii="Arial" w:hAnsi="Arial" w:cs="Arial"/>
          <w:sz w:val="23"/>
          <w:szCs w:val="23"/>
        </w:rPr>
        <w:t xml:space="preserve"> os p</w:t>
      </w:r>
      <w:r w:rsidR="00D275B1">
        <w:rPr>
          <w:rFonts w:ascii="Arial" w:hAnsi="Arial" w:cs="Arial"/>
          <w:sz w:val="23"/>
          <w:szCs w:val="23"/>
        </w:rPr>
        <w:t xml:space="preserve">areceres técnicos do IGAM e da URGA LM </w:t>
      </w:r>
      <w:r w:rsidR="000244E0">
        <w:rPr>
          <w:rFonts w:ascii="Arial" w:hAnsi="Arial" w:cs="Arial"/>
          <w:sz w:val="23"/>
          <w:szCs w:val="23"/>
        </w:rPr>
        <w:t>e de forma complementar os documentos</w:t>
      </w:r>
      <w:r w:rsidR="009A4DBD">
        <w:rPr>
          <w:rFonts w:ascii="Arial" w:hAnsi="Arial" w:cs="Arial"/>
          <w:sz w:val="23"/>
          <w:szCs w:val="23"/>
        </w:rPr>
        <w:t xml:space="preserve"> inseridos no processo </w:t>
      </w:r>
      <w:r w:rsidR="00A53A98">
        <w:rPr>
          <w:rFonts w:ascii="Arial" w:hAnsi="Arial" w:cs="Arial"/>
          <w:sz w:val="23"/>
          <w:szCs w:val="23"/>
        </w:rPr>
        <w:t>pleiteado. Observa-se</w:t>
      </w:r>
      <w:r w:rsidR="00E31B88">
        <w:rPr>
          <w:rFonts w:ascii="Arial" w:hAnsi="Arial" w:cs="Arial"/>
          <w:sz w:val="23"/>
          <w:szCs w:val="23"/>
        </w:rPr>
        <w:t xml:space="preserve"> os documentos de planejamento do Comitê e</w:t>
      </w:r>
      <w:r w:rsidR="00831C80">
        <w:rPr>
          <w:rFonts w:ascii="Arial" w:hAnsi="Arial" w:cs="Arial"/>
          <w:sz w:val="23"/>
          <w:szCs w:val="23"/>
        </w:rPr>
        <w:t xml:space="preserve"> os documentos de gestão sendo </w:t>
      </w:r>
      <w:r w:rsidR="0087785E">
        <w:rPr>
          <w:rFonts w:ascii="Arial" w:hAnsi="Arial" w:cs="Arial"/>
          <w:sz w:val="23"/>
          <w:szCs w:val="23"/>
        </w:rPr>
        <w:t xml:space="preserve">o </w:t>
      </w:r>
      <w:r w:rsidR="00831C80">
        <w:rPr>
          <w:rFonts w:ascii="Arial" w:hAnsi="Arial" w:cs="Arial"/>
          <w:sz w:val="23"/>
          <w:szCs w:val="23"/>
        </w:rPr>
        <w:t>PIRH-Doce</w:t>
      </w:r>
      <w:r w:rsidR="0087785E">
        <w:rPr>
          <w:rFonts w:ascii="Arial" w:hAnsi="Arial" w:cs="Arial"/>
          <w:sz w:val="23"/>
          <w:szCs w:val="23"/>
        </w:rPr>
        <w:t xml:space="preserve"> e o PDRH</w:t>
      </w:r>
      <w:r w:rsidR="00720B21">
        <w:rPr>
          <w:rFonts w:ascii="Arial" w:hAnsi="Arial" w:cs="Arial"/>
          <w:sz w:val="23"/>
          <w:szCs w:val="23"/>
        </w:rPr>
        <w:t>-Piracicaba</w:t>
      </w:r>
      <w:r w:rsidR="006268C4">
        <w:rPr>
          <w:rFonts w:ascii="Arial" w:hAnsi="Arial" w:cs="Arial"/>
          <w:sz w:val="23"/>
          <w:szCs w:val="23"/>
        </w:rPr>
        <w:t>, além da DN</w:t>
      </w:r>
      <w:r w:rsidR="00FF262D">
        <w:rPr>
          <w:rFonts w:ascii="Arial" w:hAnsi="Arial" w:cs="Arial"/>
          <w:sz w:val="23"/>
          <w:szCs w:val="23"/>
        </w:rPr>
        <w:t xml:space="preserve"> </w:t>
      </w:r>
      <w:r w:rsidR="00481D73">
        <w:rPr>
          <w:rFonts w:ascii="Arial" w:hAnsi="Arial" w:cs="Arial"/>
          <w:sz w:val="23"/>
          <w:szCs w:val="23"/>
        </w:rPr>
        <w:t xml:space="preserve">nº </w:t>
      </w:r>
      <w:r w:rsidR="006268C4">
        <w:rPr>
          <w:rFonts w:ascii="Arial" w:hAnsi="Arial" w:cs="Arial"/>
          <w:sz w:val="23"/>
          <w:szCs w:val="23"/>
        </w:rPr>
        <w:t>89</w:t>
      </w:r>
      <w:r w:rsidR="00481D73">
        <w:rPr>
          <w:rFonts w:ascii="Arial" w:hAnsi="Arial" w:cs="Arial"/>
          <w:sz w:val="23"/>
          <w:szCs w:val="23"/>
        </w:rPr>
        <w:t>/</w:t>
      </w:r>
      <w:r w:rsidR="00E971AB">
        <w:rPr>
          <w:rFonts w:ascii="Arial" w:hAnsi="Arial" w:cs="Arial"/>
          <w:sz w:val="23"/>
          <w:szCs w:val="23"/>
        </w:rPr>
        <w:t>2023</w:t>
      </w:r>
      <w:r w:rsidR="00C40103">
        <w:rPr>
          <w:rFonts w:ascii="Arial" w:hAnsi="Arial" w:cs="Arial"/>
          <w:sz w:val="23"/>
          <w:szCs w:val="23"/>
        </w:rPr>
        <w:t>,</w:t>
      </w:r>
      <w:r w:rsidR="00E971AB">
        <w:rPr>
          <w:rFonts w:ascii="Arial" w:hAnsi="Arial" w:cs="Arial"/>
          <w:sz w:val="23"/>
          <w:szCs w:val="23"/>
        </w:rPr>
        <w:t xml:space="preserve"> que </w:t>
      </w:r>
      <w:r w:rsidR="00FF576F">
        <w:rPr>
          <w:rFonts w:ascii="Arial" w:hAnsi="Arial" w:cs="Arial"/>
          <w:sz w:val="23"/>
          <w:szCs w:val="23"/>
        </w:rPr>
        <w:t xml:space="preserve"> atualizou o enquadramento dos corpos de águas superficiais</w:t>
      </w:r>
      <w:r w:rsidR="00EC1AC1">
        <w:rPr>
          <w:rFonts w:ascii="Arial" w:hAnsi="Arial" w:cs="Arial"/>
          <w:sz w:val="23"/>
          <w:szCs w:val="23"/>
        </w:rPr>
        <w:t xml:space="preserve"> em classes de qualidade da Circunscrição Hidrograficas do Rio Piracicaba.</w:t>
      </w:r>
      <w:r w:rsidR="00E04B39">
        <w:rPr>
          <w:rFonts w:ascii="Arial" w:hAnsi="Arial" w:cs="Arial"/>
          <w:sz w:val="23"/>
          <w:szCs w:val="23"/>
        </w:rPr>
        <w:t xml:space="preserve"> Seguindo</w:t>
      </w:r>
      <w:r w:rsidR="00513391">
        <w:rPr>
          <w:rFonts w:ascii="Arial" w:hAnsi="Arial" w:cs="Arial"/>
          <w:sz w:val="23"/>
          <w:szCs w:val="23"/>
        </w:rPr>
        <w:t>, a</w:t>
      </w:r>
      <w:r w:rsidR="00316A27" w:rsidRPr="00187F4F">
        <w:rPr>
          <w:rFonts w:ascii="Arial" w:hAnsi="Arial" w:cs="Arial"/>
          <w:sz w:val="23"/>
          <w:szCs w:val="23"/>
        </w:rPr>
        <w:t xml:space="preserve"> análise foi ponderada </w:t>
      </w:r>
      <w:r w:rsidR="00316A27">
        <w:rPr>
          <w:rFonts w:ascii="Arial" w:hAnsi="Arial" w:cs="Arial"/>
          <w:sz w:val="23"/>
          <w:szCs w:val="23"/>
        </w:rPr>
        <w:t xml:space="preserve">em </w:t>
      </w:r>
      <w:r w:rsidR="00316A27" w:rsidRPr="00187F4F">
        <w:rPr>
          <w:rFonts w:ascii="Arial" w:hAnsi="Arial" w:cs="Arial"/>
          <w:sz w:val="23"/>
          <w:szCs w:val="23"/>
        </w:rPr>
        <w:t>quatro quesitos definidos na DN 31/2009 sendo: 1-</w:t>
      </w:r>
      <w:r w:rsidR="00513391">
        <w:rPr>
          <w:rFonts w:ascii="Arial" w:hAnsi="Arial" w:cs="Arial"/>
          <w:sz w:val="23"/>
          <w:szCs w:val="23"/>
        </w:rPr>
        <w:t xml:space="preserve"> </w:t>
      </w:r>
      <w:r w:rsidR="00316A27" w:rsidRPr="00187F4F">
        <w:rPr>
          <w:rFonts w:ascii="Arial" w:hAnsi="Arial" w:cs="Arial"/>
          <w:sz w:val="23"/>
          <w:szCs w:val="23"/>
        </w:rPr>
        <w:t>As prioridades de uso estabelecidos nos planos Diretores de Recursos Hídricos ou em Deliberações dos Comitês; 2-</w:t>
      </w:r>
      <w:r w:rsidR="00513391">
        <w:rPr>
          <w:rFonts w:ascii="Arial" w:hAnsi="Arial" w:cs="Arial"/>
          <w:sz w:val="23"/>
          <w:szCs w:val="23"/>
        </w:rPr>
        <w:t xml:space="preserve"> </w:t>
      </w:r>
      <w:r w:rsidR="00316A27" w:rsidRPr="00187F4F">
        <w:rPr>
          <w:rFonts w:ascii="Arial" w:hAnsi="Arial" w:cs="Arial"/>
          <w:sz w:val="23"/>
          <w:szCs w:val="23"/>
        </w:rPr>
        <w:t>A classe de enquadramento do corpo de água; 3-</w:t>
      </w:r>
      <w:r w:rsidR="00513391">
        <w:rPr>
          <w:rFonts w:ascii="Arial" w:hAnsi="Arial" w:cs="Arial"/>
          <w:sz w:val="23"/>
          <w:szCs w:val="23"/>
        </w:rPr>
        <w:t xml:space="preserve"> </w:t>
      </w:r>
      <w:r w:rsidR="00316A27" w:rsidRPr="00187F4F">
        <w:rPr>
          <w:rFonts w:ascii="Arial" w:hAnsi="Arial" w:cs="Arial"/>
          <w:sz w:val="23"/>
          <w:szCs w:val="23"/>
        </w:rPr>
        <w:t>A manutenção de condições adequadas ao transporte aquaviário, quando for o caso; e 4-</w:t>
      </w:r>
      <w:r w:rsidR="00513391">
        <w:rPr>
          <w:rFonts w:ascii="Arial" w:hAnsi="Arial" w:cs="Arial"/>
          <w:sz w:val="23"/>
          <w:szCs w:val="23"/>
        </w:rPr>
        <w:t xml:space="preserve"> </w:t>
      </w:r>
      <w:r w:rsidR="00316A27" w:rsidRPr="00187F4F">
        <w:rPr>
          <w:rFonts w:ascii="Arial" w:hAnsi="Arial" w:cs="Arial"/>
          <w:sz w:val="23"/>
          <w:szCs w:val="23"/>
        </w:rPr>
        <w:t xml:space="preserve">A necessidade de preservação dos usos múltiplos, explicitada em deliberação dos respectivos comitês. </w:t>
      </w:r>
      <w:r w:rsidR="008F1A7D" w:rsidRPr="00187F4F">
        <w:rPr>
          <w:rFonts w:ascii="Arial" w:hAnsi="Arial" w:cs="Arial"/>
          <w:sz w:val="23"/>
          <w:szCs w:val="23"/>
        </w:rPr>
        <w:t>Em relação ao quesito um, o</w:t>
      </w:r>
      <w:r w:rsidR="008F1A7D" w:rsidRPr="00A20945">
        <w:rPr>
          <w:rFonts w:ascii="Arial" w:hAnsi="Arial" w:cs="Arial"/>
          <w:sz w:val="23"/>
          <w:szCs w:val="23"/>
        </w:rPr>
        <w:t xml:space="preserve"> PIRH-Doce e o PDRH- Piracicaba definem, no Programa 3 – Outorgas de Direito de Uso de Recursos Hídricos, ações para o aprimoramento deste instrumento</w:t>
      </w:r>
      <w:r w:rsidR="008F1A7D" w:rsidRPr="00187F4F">
        <w:rPr>
          <w:rFonts w:ascii="Arial" w:hAnsi="Arial" w:cs="Arial"/>
          <w:sz w:val="23"/>
          <w:szCs w:val="23"/>
        </w:rPr>
        <w:t xml:space="preserve"> e este</w:t>
      </w:r>
      <w:r w:rsidR="008F1A7D" w:rsidRPr="00A20945">
        <w:rPr>
          <w:rFonts w:ascii="Arial" w:hAnsi="Arial" w:cs="Arial"/>
          <w:sz w:val="23"/>
          <w:szCs w:val="23"/>
        </w:rPr>
        <w:t xml:space="preserve"> define diretrizes para a definição dos usos prioritários na bacia do Rio Piracicaba, embasados nas legislações </w:t>
      </w:r>
      <w:r w:rsidR="008F1A7D" w:rsidRPr="00187F4F">
        <w:rPr>
          <w:rFonts w:ascii="Arial" w:hAnsi="Arial" w:cs="Arial"/>
          <w:sz w:val="23"/>
          <w:szCs w:val="23"/>
        </w:rPr>
        <w:t>Federal</w:t>
      </w:r>
      <w:r w:rsidR="008F1A7D" w:rsidRPr="00A20945">
        <w:rPr>
          <w:rFonts w:ascii="Arial" w:hAnsi="Arial" w:cs="Arial"/>
          <w:sz w:val="23"/>
          <w:szCs w:val="23"/>
        </w:rPr>
        <w:t xml:space="preserve"> e Estadual de Recursos Hídricos</w:t>
      </w:r>
      <w:r w:rsidR="008F1A7D" w:rsidRPr="00187F4F">
        <w:rPr>
          <w:rFonts w:ascii="Arial" w:hAnsi="Arial" w:cs="Arial"/>
          <w:sz w:val="23"/>
          <w:szCs w:val="23"/>
        </w:rPr>
        <w:t>, tendo como prioridade na Lei Federal nº 9.433/1997 o consumo humano e dessedentação de animais e a lei Estadual 13.199/1999 o abastecimento público e a manutenção dos ecossistemas.</w:t>
      </w:r>
      <w:r w:rsidR="00D0535E">
        <w:rPr>
          <w:rFonts w:ascii="Arial" w:hAnsi="Arial" w:cs="Arial"/>
          <w:sz w:val="23"/>
          <w:szCs w:val="23"/>
        </w:rPr>
        <w:t xml:space="preserve"> </w:t>
      </w:r>
      <w:r w:rsidR="008B0984">
        <w:rPr>
          <w:rFonts w:ascii="Arial" w:hAnsi="Arial" w:cs="Arial"/>
          <w:sz w:val="23"/>
          <w:szCs w:val="23"/>
        </w:rPr>
        <w:t xml:space="preserve"> </w:t>
      </w:r>
      <w:r w:rsidR="000B5969">
        <w:rPr>
          <w:rFonts w:ascii="Arial" w:hAnsi="Arial" w:cs="Arial"/>
          <w:sz w:val="23"/>
          <w:szCs w:val="23"/>
        </w:rPr>
        <w:t>Sendo assim, observando que o empreendiment</w:t>
      </w:r>
      <w:r w:rsidR="008B0984" w:rsidRPr="00187F4F">
        <w:rPr>
          <w:rFonts w:ascii="Arial" w:hAnsi="Arial" w:cs="Arial"/>
          <w:sz w:val="23"/>
          <w:szCs w:val="23"/>
        </w:rPr>
        <w:t>o não fará uso consultivo</w:t>
      </w:r>
      <w:r w:rsidR="008B0984" w:rsidRPr="00187F4F">
        <w:rPr>
          <w:rFonts w:ascii="Arial" w:hAnsi="Arial" w:cs="Arial"/>
          <w:kern w:val="24"/>
          <w:sz w:val="72"/>
          <w:szCs w:val="72"/>
        </w:rPr>
        <w:t xml:space="preserve"> </w:t>
      </w:r>
      <w:r w:rsidR="008B0984" w:rsidRPr="00187F4F">
        <w:rPr>
          <w:rFonts w:ascii="Arial" w:hAnsi="Arial" w:cs="Arial"/>
          <w:sz w:val="23"/>
          <w:szCs w:val="23"/>
        </w:rPr>
        <w:t xml:space="preserve">de recursos hídricos, </w:t>
      </w:r>
      <w:r w:rsidR="00E5235B">
        <w:rPr>
          <w:rFonts w:ascii="Arial" w:hAnsi="Arial" w:cs="Arial"/>
          <w:sz w:val="23"/>
          <w:szCs w:val="23"/>
        </w:rPr>
        <w:t>conc</w:t>
      </w:r>
      <w:r w:rsidR="00BA788A">
        <w:rPr>
          <w:rFonts w:ascii="Arial" w:hAnsi="Arial" w:cs="Arial"/>
          <w:sz w:val="23"/>
          <w:szCs w:val="23"/>
        </w:rPr>
        <w:t>l</w:t>
      </w:r>
      <w:r w:rsidR="008B0984" w:rsidRPr="00187F4F">
        <w:rPr>
          <w:rFonts w:ascii="Arial" w:hAnsi="Arial" w:cs="Arial"/>
          <w:sz w:val="23"/>
          <w:szCs w:val="23"/>
        </w:rPr>
        <w:t>u</w:t>
      </w:r>
      <w:r w:rsidR="000817E6">
        <w:rPr>
          <w:rFonts w:ascii="Arial" w:hAnsi="Arial" w:cs="Arial"/>
          <w:sz w:val="23"/>
          <w:szCs w:val="23"/>
        </w:rPr>
        <w:t>i</w:t>
      </w:r>
      <w:r w:rsidR="008B0984" w:rsidRPr="00187F4F">
        <w:rPr>
          <w:rFonts w:ascii="Arial" w:hAnsi="Arial" w:cs="Arial"/>
          <w:sz w:val="23"/>
          <w:szCs w:val="23"/>
        </w:rPr>
        <w:t>-se que, não há interferência nas prioridades de usos, estabelecidas pelas respectivas legislações. Dessa forma</w:t>
      </w:r>
      <w:r w:rsidR="00C40103">
        <w:rPr>
          <w:rFonts w:ascii="Arial" w:hAnsi="Arial" w:cs="Arial"/>
          <w:sz w:val="23"/>
          <w:szCs w:val="23"/>
        </w:rPr>
        <w:t>,</w:t>
      </w:r>
      <w:r w:rsidR="008B0984" w:rsidRPr="00187F4F">
        <w:rPr>
          <w:rFonts w:ascii="Arial" w:hAnsi="Arial" w:cs="Arial"/>
          <w:sz w:val="23"/>
          <w:szCs w:val="23"/>
        </w:rPr>
        <w:t xml:space="preserve"> no caso de situações de escassez hídrica, caberá aos órgãos gestores de recursos hídricos determinar medidas a serem tomadas, que podem incluir, por exemplo, a suspensão total ou parcial de outorgas </w:t>
      </w:r>
      <w:r w:rsidR="008B0984" w:rsidRPr="00187F4F">
        <w:rPr>
          <w:rFonts w:ascii="Arial" w:hAnsi="Arial" w:cs="Arial"/>
          <w:sz w:val="23"/>
          <w:szCs w:val="23"/>
        </w:rPr>
        <w:lastRenderedPageBreak/>
        <w:t>concedidas.</w:t>
      </w:r>
      <w:r w:rsidR="00FE2B44">
        <w:rPr>
          <w:rFonts w:ascii="Arial" w:hAnsi="Arial" w:cs="Arial"/>
          <w:sz w:val="23"/>
          <w:szCs w:val="23"/>
        </w:rPr>
        <w:t xml:space="preserve"> </w:t>
      </w:r>
      <w:r w:rsidR="00FD343B" w:rsidRPr="00187F4F">
        <w:rPr>
          <w:rFonts w:ascii="Arial" w:hAnsi="Arial" w:cs="Arial"/>
          <w:sz w:val="23"/>
          <w:szCs w:val="23"/>
        </w:rPr>
        <w:t>No que diz respeito ao quesito dois</w:t>
      </w:r>
      <w:r w:rsidR="00C73220">
        <w:rPr>
          <w:rFonts w:ascii="Arial" w:hAnsi="Arial" w:cs="Arial"/>
          <w:sz w:val="23"/>
          <w:szCs w:val="23"/>
        </w:rPr>
        <w:t xml:space="preserve"> </w:t>
      </w:r>
      <w:r w:rsidR="00F86C05">
        <w:rPr>
          <w:rFonts w:ascii="Arial" w:hAnsi="Arial" w:cs="Arial"/>
          <w:sz w:val="23"/>
          <w:szCs w:val="23"/>
        </w:rPr>
        <w:t>mediante a aprovação d</w:t>
      </w:r>
      <w:r w:rsidR="00C73220" w:rsidRPr="00187F4F">
        <w:rPr>
          <w:rFonts w:ascii="Arial" w:hAnsi="Arial" w:cs="Arial"/>
          <w:sz w:val="23"/>
          <w:szCs w:val="23"/>
        </w:rPr>
        <w:t xml:space="preserve">a DN CERH-MG, Nº 89, de 15 de dezembro de 2023, que </w:t>
      </w:r>
      <w:r w:rsidR="00F86C05">
        <w:rPr>
          <w:rFonts w:ascii="Arial" w:hAnsi="Arial" w:cs="Arial"/>
          <w:sz w:val="23"/>
          <w:szCs w:val="23"/>
        </w:rPr>
        <w:t xml:space="preserve">dispõe </w:t>
      </w:r>
      <w:r w:rsidR="00C73220" w:rsidRPr="00187F4F">
        <w:rPr>
          <w:rFonts w:ascii="Arial" w:hAnsi="Arial" w:cs="Arial"/>
          <w:sz w:val="23"/>
          <w:szCs w:val="23"/>
        </w:rPr>
        <w:t>sobre o Enquadramento dos Corpos de Águas Superficiais da Circunscrição Hidrográfica do Rio Piracicaba</w:t>
      </w:r>
      <w:r w:rsidR="00E36A6A">
        <w:rPr>
          <w:rFonts w:ascii="Arial" w:hAnsi="Arial" w:cs="Arial"/>
          <w:sz w:val="23"/>
          <w:szCs w:val="23"/>
        </w:rPr>
        <w:t xml:space="preserve">, as análises dos pareceres de outorga passaram a </w:t>
      </w:r>
      <w:r w:rsidR="006D51D5">
        <w:rPr>
          <w:rFonts w:ascii="Arial" w:hAnsi="Arial" w:cs="Arial"/>
          <w:sz w:val="23"/>
          <w:szCs w:val="23"/>
        </w:rPr>
        <w:t>considera</w:t>
      </w:r>
      <w:r w:rsidR="002E27E3">
        <w:rPr>
          <w:rFonts w:ascii="Arial" w:hAnsi="Arial" w:cs="Arial"/>
          <w:sz w:val="23"/>
          <w:szCs w:val="23"/>
        </w:rPr>
        <w:t>-la.</w:t>
      </w:r>
      <w:r w:rsidR="00784878">
        <w:rPr>
          <w:rFonts w:ascii="Arial" w:hAnsi="Arial" w:cs="Arial"/>
          <w:sz w:val="23"/>
          <w:szCs w:val="23"/>
        </w:rPr>
        <w:t xml:space="preserve"> </w:t>
      </w:r>
      <w:r w:rsidR="00187476">
        <w:rPr>
          <w:rFonts w:ascii="Arial" w:hAnsi="Arial" w:cs="Arial"/>
          <w:sz w:val="23"/>
          <w:szCs w:val="23"/>
        </w:rPr>
        <w:t>P</w:t>
      </w:r>
      <w:r w:rsidR="00784878" w:rsidRPr="00187F4F">
        <w:rPr>
          <w:rFonts w:ascii="Arial" w:hAnsi="Arial" w:cs="Arial"/>
          <w:sz w:val="23"/>
          <w:szCs w:val="23"/>
        </w:rPr>
        <w:t>or se tratar de um processo de drenagem interna que consiste em dispositivos destinados a coletar as águas que se infiltram através de maciços de solos tais como barragens de terra, aterros diversos, pilhas de disposição de estéreis, entende-se que se faz necessário o monitoramento da qualidade da água em uma saída imediatamente à jusante do dreno principal visando a manutenção do enquadramento proposto</w:t>
      </w:r>
      <w:r w:rsidR="007B7863">
        <w:rPr>
          <w:rFonts w:ascii="Arial" w:hAnsi="Arial" w:cs="Arial"/>
          <w:sz w:val="23"/>
          <w:szCs w:val="23"/>
        </w:rPr>
        <w:t>.</w:t>
      </w:r>
      <w:r w:rsidR="00807C7F">
        <w:rPr>
          <w:rFonts w:ascii="Arial" w:hAnsi="Arial" w:cs="Arial"/>
          <w:sz w:val="23"/>
          <w:szCs w:val="23"/>
        </w:rPr>
        <w:t xml:space="preserve"> </w:t>
      </w:r>
      <w:r w:rsidR="008B16E0">
        <w:rPr>
          <w:rFonts w:ascii="Arial" w:hAnsi="Arial" w:cs="Arial"/>
          <w:sz w:val="23"/>
          <w:szCs w:val="23"/>
        </w:rPr>
        <w:t>À vista d</w:t>
      </w:r>
      <w:r w:rsidR="003633BC">
        <w:rPr>
          <w:rFonts w:ascii="Arial" w:hAnsi="Arial" w:cs="Arial"/>
          <w:sz w:val="23"/>
          <w:szCs w:val="23"/>
        </w:rPr>
        <w:t>i</w:t>
      </w:r>
      <w:r w:rsidR="008B16E0">
        <w:rPr>
          <w:rFonts w:ascii="Arial" w:hAnsi="Arial" w:cs="Arial"/>
          <w:sz w:val="23"/>
          <w:szCs w:val="23"/>
        </w:rPr>
        <w:t>sso</w:t>
      </w:r>
      <w:r w:rsidR="003633BC">
        <w:rPr>
          <w:rFonts w:ascii="Arial" w:hAnsi="Arial" w:cs="Arial"/>
          <w:sz w:val="23"/>
          <w:szCs w:val="23"/>
        </w:rPr>
        <w:t xml:space="preserve">, </w:t>
      </w:r>
      <w:r w:rsidR="008B2361" w:rsidRPr="00187F4F">
        <w:rPr>
          <w:rFonts w:ascii="Arial" w:hAnsi="Arial" w:cs="Arial"/>
          <w:sz w:val="23"/>
          <w:szCs w:val="23"/>
        </w:rPr>
        <w:t>Como citado anteriormente, nos Processos de Outorga n</w:t>
      </w:r>
      <w:r w:rsidR="008B2361" w:rsidRPr="00F10CD4">
        <w:rPr>
          <w:rFonts w:ascii="Arial" w:hAnsi="Arial" w:cs="Arial"/>
          <w:sz w:val="23"/>
          <w:szCs w:val="23"/>
        </w:rPr>
        <w:t>ão constam o Plano de monitoramento da qualidade da água, impossibilitando, assim, uma análise mais detalhada sobre a estratégia</w:t>
      </w:r>
      <w:r w:rsidR="008B2361" w:rsidRPr="00187F4F">
        <w:rPr>
          <w:rFonts w:ascii="Arial" w:hAnsi="Arial" w:cs="Arial"/>
          <w:sz w:val="23"/>
          <w:szCs w:val="23"/>
        </w:rPr>
        <w:t xml:space="preserve">, </w:t>
      </w:r>
      <w:r w:rsidR="008B2361" w:rsidRPr="00F10CD4">
        <w:rPr>
          <w:rFonts w:ascii="Arial" w:hAnsi="Arial" w:cs="Arial"/>
          <w:sz w:val="23"/>
          <w:szCs w:val="23"/>
        </w:rPr>
        <w:t>adotada pela ARCELOR</w:t>
      </w:r>
      <w:r w:rsidR="00490979">
        <w:rPr>
          <w:rFonts w:ascii="Arial" w:hAnsi="Arial" w:cs="Arial"/>
          <w:sz w:val="23"/>
          <w:szCs w:val="23"/>
        </w:rPr>
        <w:t xml:space="preserve"> </w:t>
      </w:r>
      <w:r w:rsidR="008B2361" w:rsidRPr="00F10CD4">
        <w:rPr>
          <w:rFonts w:ascii="Arial" w:hAnsi="Arial" w:cs="Arial"/>
          <w:sz w:val="23"/>
          <w:szCs w:val="23"/>
        </w:rPr>
        <w:t>MITTAL no que tange ao monitoramento das águas de saídas dos drenos.</w:t>
      </w:r>
      <w:r w:rsidR="001A7EED">
        <w:rPr>
          <w:rFonts w:ascii="Arial" w:hAnsi="Arial" w:cs="Arial"/>
          <w:sz w:val="23"/>
          <w:szCs w:val="23"/>
        </w:rPr>
        <w:t xml:space="preserve"> </w:t>
      </w:r>
      <w:r w:rsidR="001A7EED" w:rsidRPr="00187F4F">
        <w:rPr>
          <w:rFonts w:ascii="Arial" w:hAnsi="Arial" w:cs="Arial"/>
          <w:sz w:val="23"/>
          <w:szCs w:val="23"/>
        </w:rPr>
        <w:t>Da mesma forma</w:t>
      </w:r>
      <w:r w:rsidR="00002127">
        <w:rPr>
          <w:rFonts w:ascii="Arial" w:hAnsi="Arial" w:cs="Arial"/>
          <w:sz w:val="23"/>
          <w:szCs w:val="23"/>
        </w:rPr>
        <w:t>,</w:t>
      </w:r>
      <w:r w:rsidR="001A7EED" w:rsidRPr="00187F4F">
        <w:rPr>
          <w:rFonts w:ascii="Arial" w:hAnsi="Arial" w:cs="Arial"/>
          <w:sz w:val="23"/>
          <w:szCs w:val="23"/>
        </w:rPr>
        <w:t xml:space="preserve"> nos pareceres técnico IGAM/URGA LM/OUTORGA N° 711/2023 e 714/2023, o órgão gestor não descreve condicionantes a serem atendidas</w:t>
      </w:r>
      <w:r w:rsidR="007353A8">
        <w:rPr>
          <w:rFonts w:ascii="Arial" w:hAnsi="Arial" w:cs="Arial"/>
          <w:sz w:val="23"/>
          <w:szCs w:val="23"/>
        </w:rPr>
        <w:t xml:space="preserve"> uma vez que já estão presentes no processo de </w:t>
      </w:r>
      <w:r w:rsidR="002A77E7">
        <w:rPr>
          <w:rFonts w:ascii="Arial" w:hAnsi="Arial" w:cs="Arial"/>
          <w:sz w:val="23"/>
          <w:szCs w:val="23"/>
        </w:rPr>
        <w:t>licenciamento</w:t>
      </w:r>
      <w:r w:rsidR="001A7EED" w:rsidRPr="00187F4F">
        <w:rPr>
          <w:rFonts w:ascii="Arial" w:hAnsi="Arial" w:cs="Arial"/>
          <w:sz w:val="23"/>
          <w:szCs w:val="23"/>
        </w:rPr>
        <w:t>.</w:t>
      </w:r>
      <w:r w:rsidR="00B9212F">
        <w:rPr>
          <w:rFonts w:ascii="Arial" w:hAnsi="Arial" w:cs="Arial"/>
          <w:sz w:val="23"/>
          <w:szCs w:val="23"/>
        </w:rPr>
        <w:t xml:space="preserve"> </w:t>
      </w:r>
      <w:r w:rsidR="00B9212F" w:rsidRPr="00187F4F">
        <w:rPr>
          <w:rFonts w:ascii="Arial" w:hAnsi="Arial" w:cs="Arial"/>
          <w:sz w:val="23"/>
          <w:szCs w:val="23"/>
        </w:rPr>
        <w:t>Quanto ao quesito três, não se aplica a essas bacias por serem rios de pequeno porte.</w:t>
      </w:r>
      <w:r w:rsidR="004479F1" w:rsidRPr="00187F4F">
        <w:rPr>
          <w:rFonts w:ascii="Arial" w:hAnsi="Arial" w:cs="Arial"/>
          <w:sz w:val="23"/>
          <w:szCs w:val="23"/>
        </w:rPr>
        <w:t xml:space="preserve"> No que se refere ao quesito quatro não afetará a preservação dos usos múltiplos, uma vez que não tem nenhuma outra outorga ou cadastro nessa bacia</w:t>
      </w:r>
      <w:r w:rsidR="00103C41">
        <w:rPr>
          <w:rFonts w:ascii="Arial" w:hAnsi="Arial" w:cs="Arial"/>
          <w:sz w:val="23"/>
          <w:szCs w:val="23"/>
        </w:rPr>
        <w:t>.</w:t>
      </w:r>
      <w:r w:rsidR="003D0D0A">
        <w:rPr>
          <w:rFonts w:ascii="Arial" w:hAnsi="Arial" w:cs="Arial"/>
          <w:sz w:val="23"/>
          <w:szCs w:val="23"/>
        </w:rPr>
        <w:t xml:space="preserve"> </w:t>
      </w:r>
      <w:r w:rsidR="006A2C04">
        <w:rPr>
          <w:rFonts w:ascii="Arial" w:hAnsi="Arial" w:cs="Arial"/>
          <w:sz w:val="23"/>
          <w:szCs w:val="23"/>
        </w:rPr>
        <w:t>Concluindo</w:t>
      </w:r>
      <w:r w:rsidR="0044031D">
        <w:rPr>
          <w:rFonts w:ascii="Arial" w:hAnsi="Arial" w:cs="Arial"/>
          <w:sz w:val="23"/>
          <w:szCs w:val="23"/>
        </w:rPr>
        <w:t xml:space="preserve">, Alex apresentou </w:t>
      </w:r>
      <w:r w:rsidR="006C0287">
        <w:rPr>
          <w:rFonts w:ascii="Arial" w:hAnsi="Arial" w:cs="Arial"/>
          <w:sz w:val="23"/>
          <w:szCs w:val="23"/>
        </w:rPr>
        <w:t xml:space="preserve">o </w:t>
      </w:r>
      <w:r w:rsidR="00246A36">
        <w:rPr>
          <w:rFonts w:ascii="Arial" w:hAnsi="Arial" w:cs="Arial"/>
          <w:sz w:val="23"/>
          <w:szCs w:val="23"/>
        </w:rPr>
        <w:t>parecer</w:t>
      </w:r>
      <w:r w:rsidR="006C0287">
        <w:rPr>
          <w:rFonts w:ascii="Arial" w:hAnsi="Arial" w:cs="Arial"/>
          <w:sz w:val="23"/>
          <w:szCs w:val="23"/>
        </w:rPr>
        <w:t xml:space="preserve"> da AGEDOCE</w:t>
      </w:r>
      <w:r w:rsidR="008964B4">
        <w:rPr>
          <w:rFonts w:ascii="Arial" w:hAnsi="Arial" w:cs="Arial"/>
          <w:sz w:val="23"/>
          <w:szCs w:val="23"/>
        </w:rPr>
        <w:t xml:space="preserve"> </w:t>
      </w:r>
      <w:r w:rsidR="00630D28">
        <w:rPr>
          <w:rFonts w:ascii="Arial" w:hAnsi="Arial" w:cs="Arial"/>
          <w:sz w:val="23"/>
          <w:szCs w:val="23"/>
        </w:rPr>
        <w:t xml:space="preserve">sendo: </w:t>
      </w:r>
      <w:r w:rsidR="008964B4" w:rsidRPr="00187F4F">
        <w:rPr>
          <w:rFonts w:ascii="Arial" w:hAnsi="Arial" w:cs="Arial"/>
          <w:sz w:val="23"/>
          <w:szCs w:val="23"/>
        </w:rPr>
        <w:t xml:space="preserve"> c</w:t>
      </w:r>
      <w:r w:rsidR="008964B4" w:rsidRPr="0034500F">
        <w:rPr>
          <w:rFonts w:ascii="Arial" w:hAnsi="Arial" w:cs="Arial"/>
          <w:sz w:val="23"/>
          <w:szCs w:val="23"/>
        </w:rPr>
        <w:t>onsidera</w:t>
      </w:r>
      <w:r w:rsidR="008964B4" w:rsidRPr="00187F4F">
        <w:rPr>
          <w:rFonts w:ascii="Arial" w:hAnsi="Arial" w:cs="Arial"/>
          <w:sz w:val="23"/>
          <w:szCs w:val="23"/>
        </w:rPr>
        <w:t>ção</w:t>
      </w:r>
      <w:r w:rsidR="008964B4" w:rsidRPr="0034500F">
        <w:rPr>
          <w:rFonts w:ascii="Arial" w:hAnsi="Arial" w:cs="Arial"/>
          <w:sz w:val="23"/>
          <w:szCs w:val="23"/>
        </w:rPr>
        <w:t xml:space="preserve"> as diretrizes no PIRH-Doce e PDRH-Piracicaba;</w:t>
      </w:r>
      <w:r w:rsidR="008964B4" w:rsidRPr="00187F4F">
        <w:rPr>
          <w:rFonts w:ascii="Arial" w:hAnsi="Arial" w:cs="Arial"/>
          <w:sz w:val="23"/>
          <w:szCs w:val="23"/>
        </w:rPr>
        <w:t xml:space="preserve"> com</w:t>
      </w:r>
      <w:r w:rsidR="008964B4" w:rsidRPr="0034500F">
        <w:rPr>
          <w:rFonts w:ascii="Arial" w:hAnsi="Arial" w:cs="Arial"/>
          <w:sz w:val="23"/>
          <w:szCs w:val="23"/>
        </w:rPr>
        <w:t xml:space="preserve"> base no</w:t>
      </w:r>
      <w:r w:rsidR="008964B4" w:rsidRPr="00187F4F">
        <w:rPr>
          <w:rFonts w:ascii="Arial" w:hAnsi="Arial" w:cs="Arial"/>
          <w:sz w:val="23"/>
          <w:szCs w:val="23"/>
        </w:rPr>
        <w:t>s dois</w:t>
      </w:r>
      <w:r w:rsidR="008964B4" w:rsidRPr="0034500F">
        <w:rPr>
          <w:rFonts w:ascii="Arial" w:hAnsi="Arial" w:cs="Arial"/>
          <w:sz w:val="23"/>
          <w:szCs w:val="23"/>
        </w:rPr>
        <w:t xml:space="preserve"> </w:t>
      </w:r>
      <w:r w:rsidR="008964B4" w:rsidRPr="00187F4F">
        <w:rPr>
          <w:rFonts w:ascii="Arial" w:hAnsi="Arial" w:cs="Arial"/>
          <w:sz w:val="23"/>
          <w:szCs w:val="23"/>
        </w:rPr>
        <w:t>p</w:t>
      </w:r>
      <w:r w:rsidR="008964B4" w:rsidRPr="0034500F">
        <w:rPr>
          <w:rFonts w:ascii="Arial" w:hAnsi="Arial" w:cs="Arial"/>
          <w:sz w:val="23"/>
          <w:szCs w:val="23"/>
        </w:rPr>
        <w:t>arecer</w:t>
      </w:r>
      <w:r w:rsidR="008964B4" w:rsidRPr="00187F4F">
        <w:rPr>
          <w:rFonts w:ascii="Arial" w:hAnsi="Arial" w:cs="Arial"/>
          <w:sz w:val="23"/>
          <w:szCs w:val="23"/>
        </w:rPr>
        <w:t>es</w:t>
      </w:r>
      <w:r w:rsidR="008964B4" w:rsidRPr="0034500F">
        <w:rPr>
          <w:rFonts w:ascii="Arial" w:hAnsi="Arial" w:cs="Arial"/>
          <w:sz w:val="23"/>
          <w:szCs w:val="23"/>
        </w:rPr>
        <w:t xml:space="preserve"> </w:t>
      </w:r>
      <w:r w:rsidR="008964B4" w:rsidRPr="00187F4F">
        <w:rPr>
          <w:rFonts w:ascii="Arial" w:hAnsi="Arial" w:cs="Arial"/>
          <w:sz w:val="23"/>
          <w:szCs w:val="23"/>
        </w:rPr>
        <w:t>t</w:t>
      </w:r>
      <w:r w:rsidR="008964B4" w:rsidRPr="0034500F">
        <w:rPr>
          <w:rFonts w:ascii="Arial" w:hAnsi="Arial" w:cs="Arial"/>
          <w:sz w:val="23"/>
          <w:szCs w:val="23"/>
        </w:rPr>
        <w:t>écnico</w:t>
      </w:r>
      <w:r w:rsidR="008964B4" w:rsidRPr="00187F4F">
        <w:rPr>
          <w:rFonts w:ascii="Arial" w:hAnsi="Arial" w:cs="Arial"/>
          <w:sz w:val="23"/>
          <w:szCs w:val="23"/>
        </w:rPr>
        <w:t>s do</w:t>
      </w:r>
      <w:r w:rsidR="008964B4" w:rsidRPr="0034500F">
        <w:rPr>
          <w:rFonts w:ascii="Arial" w:hAnsi="Arial" w:cs="Arial"/>
          <w:sz w:val="23"/>
          <w:szCs w:val="23"/>
        </w:rPr>
        <w:t xml:space="preserve"> IGAM/URGA LM/OUTORGA nº. 711/2023 e nº 6714/2023, cuja conclusão foi pelo deferimento da solicitação de outorga;</w:t>
      </w:r>
      <w:r w:rsidR="008964B4" w:rsidRPr="00187F4F">
        <w:rPr>
          <w:rFonts w:ascii="Arial" w:hAnsi="Arial" w:cs="Arial"/>
          <w:sz w:val="23"/>
          <w:szCs w:val="23"/>
        </w:rPr>
        <w:t xml:space="preserve"> c</w:t>
      </w:r>
      <w:r w:rsidR="008964B4" w:rsidRPr="0034500F">
        <w:rPr>
          <w:rFonts w:ascii="Arial" w:hAnsi="Arial" w:cs="Arial"/>
          <w:sz w:val="23"/>
          <w:szCs w:val="23"/>
        </w:rPr>
        <w:t xml:space="preserve">onsiderando que </w:t>
      </w:r>
      <w:r w:rsidR="008964B4" w:rsidRPr="00187F4F">
        <w:rPr>
          <w:rFonts w:ascii="Arial" w:hAnsi="Arial" w:cs="Arial"/>
          <w:sz w:val="23"/>
          <w:szCs w:val="23"/>
        </w:rPr>
        <w:t xml:space="preserve">em três quesitos </w:t>
      </w:r>
      <w:r w:rsidR="008964B4" w:rsidRPr="0034500F">
        <w:rPr>
          <w:rFonts w:ascii="Arial" w:hAnsi="Arial" w:cs="Arial"/>
          <w:sz w:val="23"/>
          <w:szCs w:val="23"/>
        </w:rPr>
        <w:t xml:space="preserve">não foram identificadas interferências provocadas pela intervenção no que diz respeito aos quesitos estabelecidos pela DN CERH/MG nº 31/2009; e </w:t>
      </w:r>
      <w:r w:rsidR="008964B4" w:rsidRPr="00187F4F">
        <w:rPr>
          <w:rFonts w:ascii="Arial" w:hAnsi="Arial" w:cs="Arial"/>
          <w:sz w:val="23"/>
          <w:szCs w:val="23"/>
        </w:rPr>
        <w:t>p</w:t>
      </w:r>
      <w:r w:rsidR="008964B4" w:rsidRPr="0034500F">
        <w:rPr>
          <w:rFonts w:ascii="Arial" w:hAnsi="Arial" w:cs="Arial"/>
          <w:sz w:val="23"/>
          <w:szCs w:val="23"/>
        </w:rPr>
        <w:t>or fim, considerando o disposto no art. 14 da Portaria IGAM nº 048/2019.</w:t>
      </w:r>
      <w:r w:rsidR="008964B4" w:rsidRPr="00187F4F">
        <w:rPr>
          <w:rFonts w:ascii="Arial" w:hAnsi="Arial" w:cs="Arial"/>
          <w:sz w:val="23"/>
          <w:szCs w:val="23"/>
        </w:rPr>
        <w:t xml:space="preserve"> </w:t>
      </w:r>
      <w:r w:rsidR="00CE76B8">
        <w:rPr>
          <w:rFonts w:ascii="Arial" w:hAnsi="Arial" w:cs="Arial"/>
          <w:sz w:val="23"/>
          <w:szCs w:val="23"/>
        </w:rPr>
        <w:t>A AGEDOCE</w:t>
      </w:r>
      <w:r w:rsidR="008964B4" w:rsidRPr="00187F4F">
        <w:rPr>
          <w:rFonts w:ascii="Arial" w:hAnsi="Arial" w:cs="Arial"/>
          <w:sz w:val="23"/>
          <w:szCs w:val="23"/>
        </w:rPr>
        <w:t xml:space="preserve"> recomenda que o CBH-Piracicaba defira</w:t>
      </w:r>
      <w:r w:rsidR="008964B4" w:rsidRPr="00187F4F">
        <w:rPr>
          <w:rFonts w:ascii="Arial" w:hAnsi="Arial" w:cs="Arial"/>
          <w:b/>
          <w:bCs/>
          <w:sz w:val="23"/>
          <w:szCs w:val="23"/>
        </w:rPr>
        <w:t xml:space="preserve"> </w:t>
      </w:r>
      <w:r w:rsidR="008964B4" w:rsidRPr="00187F4F">
        <w:rPr>
          <w:rFonts w:ascii="Arial" w:hAnsi="Arial" w:cs="Arial"/>
          <w:sz w:val="23"/>
          <w:szCs w:val="23"/>
        </w:rPr>
        <w:t xml:space="preserve">o pedido, contudo sugere </w:t>
      </w:r>
      <w:r w:rsidR="00551339">
        <w:rPr>
          <w:rFonts w:ascii="Arial" w:hAnsi="Arial" w:cs="Arial"/>
          <w:sz w:val="23"/>
          <w:szCs w:val="23"/>
        </w:rPr>
        <w:t>a</w:t>
      </w:r>
      <w:r w:rsidR="008964B4" w:rsidRPr="00187F4F">
        <w:rPr>
          <w:rFonts w:ascii="Arial" w:hAnsi="Arial" w:cs="Arial"/>
          <w:sz w:val="23"/>
          <w:szCs w:val="23"/>
        </w:rPr>
        <w:t xml:space="preserve"> inserção de </w:t>
      </w:r>
      <w:r w:rsidR="00551339">
        <w:rPr>
          <w:rFonts w:ascii="Arial" w:hAnsi="Arial" w:cs="Arial"/>
          <w:sz w:val="23"/>
          <w:szCs w:val="23"/>
        </w:rPr>
        <w:t xml:space="preserve">três  </w:t>
      </w:r>
      <w:r w:rsidR="008964B4" w:rsidRPr="00187F4F">
        <w:rPr>
          <w:rFonts w:ascii="Arial" w:hAnsi="Arial" w:cs="Arial"/>
          <w:sz w:val="23"/>
          <w:szCs w:val="23"/>
        </w:rPr>
        <w:t>condicionantes</w:t>
      </w:r>
      <w:r w:rsidR="00641E87">
        <w:rPr>
          <w:rFonts w:ascii="Arial" w:hAnsi="Arial" w:cs="Arial"/>
          <w:sz w:val="23"/>
          <w:szCs w:val="23"/>
        </w:rPr>
        <w:t>:</w:t>
      </w:r>
      <w:r w:rsidR="008964B4" w:rsidRPr="00187F4F">
        <w:rPr>
          <w:rFonts w:ascii="Arial" w:hAnsi="Arial" w:cs="Arial"/>
          <w:sz w:val="23"/>
          <w:szCs w:val="23"/>
        </w:rPr>
        <w:t xml:space="preserve"> </w:t>
      </w:r>
      <w:r w:rsidR="00B86063" w:rsidRPr="00187F4F">
        <w:rPr>
          <w:rFonts w:ascii="Arial" w:hAnsi="Arial" w:cs="Arial"/>
          <w:sz w:val="23"/>
          <w:szCs w:val="23"/>
        </w:rPr>
        <w:t>Primeira, m</w:t>
      </w:r>
      <w:r w:rsidR="00B86063" w:rsidRPr="0034500F">
        <w:rPr>
          <w:rFonts w:ascii="Arial" w:hAnsi="Arial" w:cs="Arial"/>
          <w:sz w:val="23"/>
          <w:szCs w:val="23"/>
        </w:rPr>
        <w:t>onitorar trimestralmente a qualidade da água em um ponto imediatamente à Jusante do dreno principal, abrangendo as análises físico-químicas e biológicas, bem como óleos e graxas, pH, DBO, OD, turbidez, cor verdadeira, metais pesados e sólidos em suspensão tota</w:t>
      </w:r>
      <w:r w:rsidR="00B86063" w:rsidRPr="00187F4F">
        <w:rPr>
          <w:rFonts w:ascii="Arial" w:hAnsi="Arial" w:cs="Arial"/>
          <w:sz w:val="23"/>
          <w:szCs w:val="23"/>
        </w:rPr>
        <w:t>l</w:t>
      </w:r>
      <w:r w:rsidR="00B86063" w:rsidRPr="0034500F">
        <w:rPr>
          <w:rFonts w:ascii="Arial" w:hAnsi="Arial" w:cs="Arial"/>
          <w:sz w:val="23"/>
          <w:szCs w:val="23"/>
        </w:rPr>
        <w:t>, conforme a DN</w:t>
      </w:r>
      <w:r w:rsidR="00B86063" w:rsidRPr="00187F4F">
        <w:rPr>
          <w:rFonts w:ascii="Arial" w:hAnsi="Arial" w:cs="Arial"/>
          <w:sz w:val="23"/>
          <w:szCs w:val="23"/>
        </w:rPr>
        <w:t xml:space="preserve"> c</w:t>
      </w:r>
      <w:r w:rsidR="00B86063" w:rsidRPr="0034500F">
        <w:rPr>
          <w:rFonts w:ascii="Arial" w:hAnsi="Arial" w:cs="Arial"/>
          <w:sz w:val="23"/>
          <w:szCs w:val="23"/>
        </w:rPr>
        <w:t xml:space="preserve">onjunta COPAM/CERH n° 01/2008, nos dois cursos d’água afluentes da margem direita do rio Santa Bárbara (ambos sem denominação). </w:t>
      </w:r>
      <w:r w:rsidR="0036572F">
        <w:rPr>
          <w:rFonts w:ascii="Arial" w:hAnsi="Arial" w:cs="Arial"/>
          <w:sz w:val="23"/>
          <w:szCs w:val="23"/>
        </w:rPr>
        <w:t>Como combinado na reunião das</w:t>
      </w:r>
      <w:r w:rsidR="00E4394C">
        <w:rPr>
          <w:rFonts w:ascii="Arial" w:hAnsi="Arial" w:cs="Arial"/>
          <w:sz w:val="23"/>
          <w:szCs w:val="23"/>
        </w:rPr>
        <w:t xml:space="preserve"> Câmaras Técnicas c</w:t>
      </w:r>
      <w:r w:rsidR="00E829D2">
        <w:rPr>
          <w:rFonts w:ascii="Arial" w:hAnsi="Arial" w:cs="Arial"/>
          <w:sz w:val="23"/>
          <w:szCs w:val="23"/>
        </w:rPr>
        <w:t>olocando um adendo</w:t>
      </w:r>
      <w:r w:rsidR="00E4394C">
        <w:rPr>
          <w:rFonts w:ascii="Arial" w:hAnsi="Arial" w:cs="Arial"/>
          <w:sz w:val="23"/>
          <w:szCs w:val="23"/>
        </w:rPr>
        <w:t xml:space="preserve"> seguindo as condicionantes</w:t>
      </w:r>
      <w:r w:rsidR="00462C8C">
        <w:rPr>
          <w:rFonts w:ascii="Arial" w:hAnsi="Arial" w:cs="Arial"/>
          <w:sz w:val="23"/>
          <w:szCs w:val="23"/>
        </w:rPr>
        <w:t xml:space="preserve"> do licenciamento mental quando </w:t>
      </w:r>
      <w:r w:rsidR="002B50AB">
        <w:rPr>
          <w:rFonts w:ascii="Arial" w:hAnsi="Arial" w:cs="Arial"/>
          <w:sz w:val="23"/>
          <w:szCs w:val="23"/>
        </w:rPr>
        <w:t xml:space="preserve">ela </w:t>
      </w:r>
      <w:r w:rsidR="002B50AB">
        <w:rPr>
          <w:rFonts w:ascii="Arial" w:hAnsi="Arial" w:cs="Arial"/>
          <w:sz w:val="23"/>
          <w:szCs w:val="23"/>
        </w:rPr>
        <w:lastRenderedPageBreak/>
        <w:t xml:space="preserve">for mais restritiva. </w:t>
      </w:r>
      <w:r w:rsidR="0053015E">
        <w:rPr>
          <w:rFonts w:ascii="Arial" w:hAnsi="Arial" w:cs="Arial"/>
          <w:sz w:val="23"/>
          <w:szCs w:val="23"/>
        </w:rPr>
        <w:t>Prazo</w:t>
      </w:r>
      <w:r w:rsidR="00E829D2">
        <w:rPr>
          <w:rFonts w:ascii="Arial" w:hAnsi="Arial" w:cs="Arial"/>
          <w:sz w:val="23"/>
          <w:szCs w:val="23"/>
        </w:rPr>
        <w:t>: r</w:t>
      </w:r>
      <w:r w:rsidR="00B86063" w:rsidRPr="0034500F">
        <w:rPr>
          <w:rFonts w:ascii="Arial" w:hAnsi="Arial" w:cs="Arial"/>
          <w:sz w:val="23"/>
          <w:szCs w:val="23"/>
        </w:rPr>
        <w:t xml:space="preserve">ealizar no mínimo duas campanhas de monitoramento antes da implantação dos drenos de fundo e durante a vigência da outorga. </w:t>
      </w:r>
      <w:r w:rsidR="00B86063" w:rsidRPr="00187F4F">
        <w:rPr>
          <w:rFonts w:ascii="Arial" w:hAnsi="Arial" w:cs="Arial"/>
          <w:sz w:val="23"/>
          <w:szCs w:val="23"/>
        </w:rPr>
        <w:t>Segunda, m</w:t>
      </w:r>
      <w:r w:rsidR="00B86063" w:rsidRPr="0034500F">
        <w:rPr>
          <w:rFonts w:ascii="Arial" w:hAnsi="Arial" w:cs="Arial"/>
          <w:sz w:val="23"/>
          <w:szCs w:val="23"/>
        </w:rPr>
        <w:t>onitorar quinzenalmente a vazão de saída do dreno</w:t>
      </w:r>
      <w:r w:rsidR="000F2321">
        <w:rPr>
          <w:rFonts w:ascii="Arial" w:hAnsi="Arial" w:cs="Arial"/>
          <w:sz w:val="23"/>
          <w:szCs w:val="23"/>
        </w:rPr>
        <w:t xml:space="preserve"> </w:t>
      </w:r>
      <w:r w:rsidR="002562E5">
        <w:rPr>
          <w:rFonts w:ascii="Arial" w:hAnsi="Arial" w:cs="Arial"/>
          <w:sz w:val="23"/>
          <w:szCs w:val="23"/>
        </w:rPr>
        <w:t>principal</w:t>
      </w:r>
      <w:r w:rsidR="000F2321">
        <w:rPr>
          <w:rFonts w:ascii="Arial" w:hAnsi="Arial" w:cs="Arial"/>
          <w:sz w:val="23"/>
          <w:szCs w:val="23"/>
        </w:rPr>
        <w:t>. Prazo: a partir do início da i</w:t>
      </w:r>
      <w:r w:rsidR="005F4C6C">
        <w:rPr>
          <w:rFonts w:ascii="Arial" w:hAnsi="Arial" w:cs="Arial"/>
          <w:sz w:val="23"/>
          <w:szCs w:val="23"/>
        </w:rPr>
        <w:t>ns</w:t>
      </w:r>
      <w:r w:rsidR="000F2321">
        <w:rPr>
          <w:rFonts w:ascii="Arial" w:hAnsi="Arial" w:cs="Arial"/>
          <w:sz w:val="23"/>
          <w:szCs w:val="23"/>
        </w:rPr>
        <w:t>talação</w:t>
      </w:r>
      <w:r w:rsidR="005F4C6C">
        <w:rPr>
          <w:rFonts w:ascii="Arial" w:hAnsi="Arial" w:cs="Arial"/>
          <w:sz w:val="23"/>
          <w:szCs w:val="23"/>
        </w:rPr>
        <w:t xml:space="preserve"> dos drenos de fundo e durante a vigência da p</w:t>
      </w:r>
      <w:r w:rsidR="00733355">
        <w:rPr>
          <w:rFonts w:ascii="Arial" w:hAnsi="Arial" w:cs="Arial"/>
          <w:sz w:val="23"/>
          <w:szCs w:val="23"/>
        </w:rPr>
        <w:t>or</w:t>
      </w:r>
      <w:r w:rsidR="005F4C6C">
        <w:rPr>
          <w:rFonts w:ascii="Arial" w:hAnsi="Arial" w:cs="Arial"/>
          <w:sz w:val="23"/>
          <w:szCs w:val="23"/>
        </w:rPr>
        <w:t>taria de outorga</w:t>
      </w:r>
      <w:r w:rsidR="0048498E">
        <w:rPr>
          <w:rFonts w:ascii="Arial" w:hAnsi="Arial" w:cs="Arial"/>
          <w:sz w:val="23"/>
          <w:szCs w:val="23"/>
        </w:rPr>
        <w:t>.</w:t>
      </w:r>
      <w:r w:rsidR="002B50AB">
        <w:rPr>
          <w:rFonts w:ascii="Arial" w:hAnsi="Arial" w:cs="Arial"/>
          <w:sz w:val="23"/>
          <w:szCs w:val="23"/>
        </w:rPr>
        <w:t xml:space="preserve"> </w:t>
      </w:r>
      <w:r w:rsidR="00AF450F">
        <w:rPr>
          <w:rFonts w:ascii="Arial" w:hAnsi="Arial" w:cs="Arial"/>
          <w:sz w:val="23"/>
          <w:szCs w:val="23"/>
        </w:rPr>
        <w:t>E a  terceira condicionante</w:t>
      </w:r>
      <w:r w:rsidR="007E5BB6">
        <w:rPr>
          <w:rFonts w:ascii="Arial" w:hAnsi="Arial" w:cs="Arial"/>
          <w:sz w:val="23"/>
          <w:szCs w:val="23"/>
        </w:rPr>
        <w:t xml:space="preserve"> sendo </w:t>
      </w:r>
      <w:r w:rsidR="00F76EB7" w:rsidRPr="00187F4F">
        <w:rPr>
          <w:rFonts w:ascii="Arial" w:hAnsi="Arial" w:cs="Arial"/>
          <w:sz w:val="23"/>
          <w:szCs w:val="23"/>
        </w:rPr>
        <w:t>a</w:t>
      </w:r>
      <w:r w:rsidR="00F76EB7" w:rsidRPr="00147748">
        <w:rPr>
          <w:rFonts w:ascii="Arial" w:hAnsi="Arial" w:cs="Arial"/>
          <w:sz w:val="23"/>
          <w:szCs w:val="23"/>
        </w:rPr>
        <w:t xml:space="preserve">presentar os dados do monitoramento em formas de planilha que deverão estar disponíveis no momento da fiscalização realizada por órgão integrante do Sistema Estadual de Meio Ambiente e Recursos Hídricos – SISEMA, ou entidade por ele delegada. Além disso, os dados de monitoramento deverão ser apresentados à autoridade outorgante no momento da renovação da regularização do uso de recursos hídricos, por meio digital, bem como quando solicitados por órgão integrante do SISEMA, ou entidade por ele delegada. </w:t>
      </w:r>
      <w:r w:rsidR="00DB1F2A">
        <w:rPr>
          <w:rFonts w:ascii="Arial" w:hAnsi="Arial" w:cs="Arial"/>
          <w:sz w:val="23"/>
          <w:szCs w:val="23"/>
        </w:rPr>
        <w:t>Alex agrade</w:t>
      </w:r>
      <w:r w:rsidR="005D18F4">
        <w:rPr>
          <w:rFonts w:ascii="Arial" w:hAnsi="Arial" w:cs="Arial"/>
          <w:sz w:val="23"/>
          <w:szCs w:val="23"/>
        </w:rPr>
        <w:t xml:space="preserve">ce e se coloca a disposição. Juliana pergunta se </w:t>
      </w:r>
      <w:r w:rsidR="006D59A4">
        <w:rPr>
          <w:rFonts w:ascii="Arial" w:hAnsi="Arial" w:cs="Arial"/>
          <w:sz w:val="23"/>
          <w:szCs w:val="23"/>
        </w:rPr>
        <w:t>há algum questionamento em relação a apresentação.</w:t>
      </w:r>
      <w:r w:rsidR="00D0292C">
        <w:rPr>
          <w:rFonts w:ascii="Arial" w:hAnsi="Arial" w:cs="Arial"/>
          <w:sz w:val="23"/>
          <w:szCs w:val="23"/>
        </w:rPr>
        <w:t xml:space="preserve"> Não havendo</w:t>
      </w:r>
      <w:r w:rsidR="00492A11">
        <w:rPr>
          <w:rFonts w:ascii="Arial" w:hAnsi="Arial" w:cs="Arial"/>
          <w:sz w:val="23"/>
          <w:szCs w:val="23"/>
        </w:rPr>
        <w:t>,</w:t>
      </w:r>
      <w:r w:rsidR="00D0292C">
        <w:rPr>
          <w:rFonts w:ascii="Arial" w:hAnsi="Arial" w:cs="Arial"/>
          <w:sz w:val="23"/>
          <w:szCs w:val="23"/>
        </w:rPr>
        <w:t xml:space="preserve"> ela apresenta </w:t>
      </w:r>
      <w:r w:rsidR="004C1C46">
        <w:rPr>
          <w:rFonts w:ascii="Arial" w:hAnsi="Arial" w:cs="Arial"/>
          <w:sz w:val="23"/>
          <w:szCs w:val="23"/>
        </w:rPr>
        <w:t>o</w:t>
      </w:r>
      <w:r w:rsidR="00492A11">
        <w:rPr>
          <w:rFonts w:ascii="Arial" w:hAnsi="Arial" w:cs="Arial"/>
          <w:sz w:val="23"/>
          <w:szCs w:val="23"/>
        </w:rPr>
        <w:t xml:space="preserve"> parecer</w:t>
      </w:r>
      <w:r w:rsidR="005005F8">
        <w:rPr>
          <w:rFonts w:ascii="Arial" w:hAnsi="Arial" w:cs="Arial"/>
          <w:sz w:val="23"/>
          <w:szCs w:val="23"/>
        </w:rPr>
        <w:t xml:space="preserve"> técnico</w:t>
      </w:r>
      <w:r w:rsidR="00492A11">
        <w:rPr>
          <w:rFonts w:ascii="Arial" w:hAnsi="Arial" w:cs="Arial"/>
          <w:sz w:val="23"/>
          <w:szCs w:val="23"/>
        </w:rPr>
        <w:t xml:space="preserve"> das  Câmaras Técnicas </w:t>
      </w:r>
      <w:r w:rsidR="005005F8">
        <w:rPr>
          <w:rFonts w:ascii="Arial" w:hAnsi="Arial" w:cs="Arial"/>
          <w:sz w:val="23"/>
          <w:szCs w:val="23"/>
        </w:rPr>
        <w:t>CTIL e  CTOC</w:t>
      </w:r>
      <w:r w:rsidR="00002127">
        <w:rPr>
          <w:rFonts w:ascii="Arial" w:hAnsi="Arial" w:cs="Arial"/>
          <w:sz w:val="23"/>
          <w:szCs w:val="23"/>
        </w:rPr>
        <w:t>,</w:t>
      </w:r>
      <w:r w:rsidR="00EE12B5">
        <w:rPr>
          <w:rFonts w:ascii="Arial" w:hAnsi="Arial" w:cs="Arial"/>
          <w:sz w:val="23"/>
          <w:szCs w:val="23"/>
        </w:rPr>
        <w:t xml:space="preserve"> </w:t>
      </w:r>
      <w:r w:rsidR="004C1C46">
        <w:rPr>
          <w:rFonts w:ascii="Arial" w:hAnsi="Arial" w:cs="Arial"/>
          <w:sz w:val="23"/>
          <w:szCs w:val="23"/>
        </w:rPr>
        <w:t>juntamente com as condicionantes estabelecidas durante a reunião</w:t>
      </w:r>
      <w:r w:rsidR="004818D6">
        <w:rPr>
          <w:rFonts w:ascii="Arial" w:hAnsi="Arial" w:cs="Arial"/>
          <w:sz w:val="23"/>
          <w:szCs w:val="23"/>
        </w:rPr>
        <w:t xml:space="preserve"> sendo: </w:t>
      </w:r>
      <w:r w:rsidR="004818D6" w:rsidRPr="00187F4F">
        <w:rPr>
          <w:rFonts w:ascii="Arial" w:hAnsi="Arial" w:cs="Arial"/>
          <w:sz w:val="23"/>
          <w:szCs w:val="23"/>
        </w:rPr>
        <w:t>Primeira, m</w:t>
      </w:r>
      <w:r w:rsidR="004818D6" w:rsidRPr="0034500F">
        <w:rPr>
          <w:rFonts w:ascii="Arial" w:hAnsi="Arial" w:cs="Arial"/>
          <w:sz w:val="23"/>
          <w:szCs w:val="23"/>
        </w:rPr>
        <w:t xml:space="preserve">onitorar trimestralmente a qualidade da água em um ponto imediatamente à Jusante do dreno principal, abrangendo as análises </w:t>
      </w:r>
      <w:r w:rsidR="000A2219">
        <w:rPr>
          <w:rFonts w:ascii="Arial" w:hAnsi="Arial" w:cs="Arial"/>
          <w:sz w:val="23"/>
          <w:szCs w:val="23"/>
        </w:rPr>
        <w:t>de</w:t>
      </w:r>
      <w:r w:rsidR="004818D6" w:rsidRPr="0034500F">
        <w:rPr>
          <w:rFonts w:ascii="Arial" w:hAnsi="Arial" w:cs="Arial"/>
          <w:sz w:val="23"/>
          <w:szCs w:val="23"/>
        </w:rPr>
        <w:t xml:space="preserve"> óleos e graxas, pH, DBO, OD, turbidez, cor verdadeira, metais pesados e sólidos em suspensão tota</w:t>
      </w:r>
      <w:r w:rsidR="00750137">
        <w:rPr>
          <w:rFonts w:ascii="Arial" w:hAnsi="Arial" w:cs="Arial"/>
          <w:sz w:val="23"/>
          <w:szCs w:val="23"/>
        </w:rPr>
        <w:t>is</w:t>
      </w:r>
      <w:r w:rsidR="00046830">
        <w:rPr>
          <w:rFonts w:ascii="Arial" w:hAnsi="Arial" w:cs="Arial"/>
          <w:sz w:val="23"/>
          <w:szCs w:val="23"/>
        </w:rPr>
        <w:t>, sólidos totais dissolvidos, ferro total</w:t>
      </w:r>
      <w:r w:rsidR="00E3605F">
        <w:rPr>
          <w:rFonts w:ascii="Arial" w:hAnsi="Arial" w:cs="Arial"/>
          <w:sz w:val="23"/>
          <w:szCs w:val="23"/>
        </w:rPr>
        <w:t>, ferro solúvel, manganês solúvel</w:t>
      </w:r>
      <w:r w:rsidR="00F2208D">
        <w:rPr>
          <w:rFonts w:ascii="Arial" w:hAnsi="Arial" w:cs="Arial"/>
          <w:sz w:val="23"/>
          <w:szCs w:val="23"/>
        </w:rPr>
        <w:t xml:space="preserve"> conforme Deliberação Normativa</w:t>
      </w:r>
      <w:r w:rsidR="004818D6" w:rsidRPr="00187F4F">
        <w:rPr>
          <w:rFonts w:ascii="Arial" w:hAnsi="Arial" w:cs="Arial"/>
          <w:sz w:val="23"/>
          <w:szCs w:val="23"/>
        </w:rPr>
        <w:t xml:space="preserve"> c</w:t>
      </w:r>
      <w:r w:rsidR="004818D6" w:rsidRPr="0034500F">
        <w:rPr>
          <w:rFonts w:ascii="Arial" w:hAnsi="Arial" w:cs="Arial"/>
          <w:sz w:val="23"/>
          <w:szCs w:val="23"/>
        </w:rPr>
        <w:t xml:space="preserve">onjunta COPAM/CERH n° </w:t>
      </w:r>
      <w:r w:rsidR="00F2208D">
        <w:rPr>
          <w:rFonts w:ascii="Arial" w:hAnsi="Arial" w:cs="Arial"/>
          <w:sz w:val="23"/>
          <w:szCs w:val="23"/>
        </w:rPr>
        <w:t>08/2022</w:t>
      </w:r>
      <w:r w:rsidR="000F244C">
        <w:rPr>
          <w:rFonts w:ascii="Arial" w:hAnsi="Arial" w:cs="Arial"/>
          <w:sz w:val="23"/>
          <w:szCs w:val="23"/>
        </w:rPr>
        <w:t xml:space="preserve">. </w:t>
      </w:r>
      <w:r w:rsidR="007D5DBD">
        <w:rPr>
          <w:rFonts w:ascii="Arial" w:hAnsi="Arial" w:cs="Arial"/>
          <w:sz w:val="23"/>
          <w:szCs w:val="23"/>
        </w:rPr>
        <w:t>Prazo d</w:t>
      </w:r>
      <w:r w:rsidR="00601A57">
        <w:rPr>
          <w:rFonts w:ascii="Arial" w:hAnsi="Arial" w:cs="Arial"/>
          <w:sz w:val="23"/>
          <w:szCs w:val="23"/>
        </w:rPr>
        <w:t>ur</w:t>
      </w:r>
      <w:r w:rsidR="0036113B">
        <w:rPr>
          <w:rFonts w:ascii="Arial" w:hAnsi="Arial" w:cs="Arial"/>
          <w:sz w:val="23"/>
          <w:szCs w:val="23"/>
        </w:rPr>
        <w:t xml:space="preserve">ante a </w:t>
      </w:r>
      <w:r w:rsidR="007D5DBD">
        <w:rPr>
          <w:rFonts w:ascii="Arial" w:hAnsi="Arial" w:cs="Arial"/>
          <w:sz w:val="23"/>
          <w:szCs w:val="23"/>
        </w:rPr>
        <w:t xml:space="preserve"> vigência </w:t>
      </w:r>
      <w:r w:rsidR="0036113B">
        <w:rPr>
          <w:rFonts w:ascii="Arial" w:hAnsi="Arial" w:cs="Arial"/>
          <w:sz w:val="23"/>
          <w:szCs w:val="23"/>
        </w:rPr>
        <w:t>d</w:t>
      </w:r>
      <w:r w:rsidR="00601A57">
        <w:rPr>
          <w:rFonts w:ascii="Arial" w:hAnsi="Arial" w:cs="Arial"/>
          <w:sz w:val="23"/>
          <w:szCs w:val="23"/>
        </w:rPr>
        <w:t>a</w:t>
      </w:r>
      <w:r w:rsidR="007D5DBD">
        <w:rPr>
          <w:rFonts w:ascii="Arial" w:hAnsi="Arial" w:cs="Arial"/>
          <w:sz w:val="23"/>
          <w:szCs w:val="23"/>
        </w:rPr>
        <w:t xml:space="preserve"> Portaria de Outorga. </w:t>
      </w:r>
      <w:r w:rsidR="008A7A4C">
        <w:rPr>
          <w:rFonts w:ascii="Arial" w:hAnsi="Arial" w:cs="Arial"/>
          <w:sz w:val="23"/>
          <w:szCs w:val="23"/>
        </w:rPr>
        <w:t>Adendo: Caso a condicionante</w:t>
      </w:r>
      <w:r w:rsidR="00584C32">
        <w:rPr>
          <w:rFonts w:ascii="Arial" w:hAnsi="Arial" w:cs="Arial"/>
          <w:sz w:val="23"/>
          <w:szCs w:val="23"/>
        </w:rPr>
        <w:t xml:space="preserve"> prevista no licenciamento seja mais restritiva/completa, deverá prevalecer a condiconante 1, definida pelo CBH-Piracicaba. Segunda</w:t>
      </w:r>
      <w:r w:rsidR="004818D6" w:rsidRPr="00187F4F">
        <w:rPr>
          <w:rFonts w:ascii="Arial" w:hAnsi="Arial" w:cs="Arial"/>
          <w:sz w:val="23"/>
          <w:szCs w:val="23"/>
        </w:rPr>
        <w:t xml:space="preserve">, </w:t>
      </w:r>
      <w:r w:rsidR="002D40D6">
        <w:rPr>
          <w:rFonts w:ascii="Arial" w:hAnsi="Arial" w:cs="Arial"/>
          <w:sz w:val="23"/>
          <w:szCs w:val="23"/>
        </w:rPr>
        <w:t>m</w:t>
      </w:r>
      <w:r w:rsidR="004818D6" w:rsidRPr="0034500F">
        <w:rPr>
          <w:rFonts w:ascii="Arial" w:hAnsi="Arial" w:cs="Arial"/>
          <w:sz w:val="23"/>
          <w:szCs w:val="23"/>
        </w:rPr>
        <w:t xml:space="preserve">onitorar quinzenalmente a vazão de saída do dreno </w:t>
      </w:r>
      <w:r w:rsidR="00584C32">
        <w:rPr>
          <w:rFonts w:ascii="Arial" w:hAnsi="Arial" w:cs="Arial"/>
          <w:sz w:val="23"/>
          <w:szCs w:val="23"/>
        </w:rPr>
        <w:t>principal</w:t>
      </w:r>
      <w:r w:rsidR="002D40D6">
        <w:rPr>
          <w:rFonts w:ascii="Arial" w:hAnsi="Arial" w:cs="Arial"/>
          <w:sz w:val="23"/>
          <w:szCs w:val="23"/>
        </w:rPr>
        <w:t xml:space="preserve">, </w:t>
      </w:r>
      <w:r w:rsidR="004818D6" w:rsidRPr="0034500F">
        <w:rPr>
          <w:rFonts w:ascii="Arial" w:hAnsi="Arial" w:cs="Arial"/>
          <w:sz w:val="23"/>
          <w:szCs w:val="23"/>
        </w:rPr>
        <w:t>a partir do início da instalação dos drenos de fundo</w:t>
      </w:r>
      <w:r w:rsidR="00A463C1">
        <w:rPr>
          <w:rFonts w:ascii="Arial" w:hAnsi="Arial" w:cs="Arial"/>
          <w:sz w:val="23"/>
          <w:szCs w:val="23"/>
        </w:rPr>
        <w:t>.</w:t>
      </w:r>
      <w:r w:rsidR="002D40D6">
        <w:rPr>
          <w:rFonts w:ascii="Arial" w:hAnsi="Arial" w:cs="Arial"/>
          <w:sz w:val="23"/>
          <w:szCs w:val="23"/>
        </w:rPr>
        <w:t xml:space="preserve"> </w:t>
      </w:r>
      <w:r w:rsidR="00313818">
        <w:rPr>
          <w:rFonts w:ascii="Arial" w:hAnsi="Arial" w:cs="Arial"/>
          <w:sz w:val="23"/>
          <w:szCs w:val="23"/>
        </w:rPr>
        <w:t xml:space="preserve">Prazo </w:t>
      </w:r>
      <w:r w:rsidR="0036113B">
        <w:rPr>
          <w:rFonts w:ascii="Arial" w:hAnsi="Arial" w:cs="Arial"/>
          <w:sz w:val="23"/>
          <w:szCs w:val="23"/>
        </w:rPr>
        <w:t>du</w:t>
      </w:r>
      <w:r w:rsidR="00D436AF">
        <w:rPr>
          <w:rFonts w:ascii="Arial" w:hAnsi="Arial" w:cs="Arial"/>
          <w:sz w:val="23"/>
          <w:szCs w:val="23"/>
        </w:rPr>
        <w:t>r</w:t>
      </w:r>
      <w:r w:rsidR="0036113B">
        <w:rPr>
          <w:rFonts w:ascii="Arial" w:hAnsi="Arial" w:cs="Arial"/>
          <w:sz w:val="23"/>
          <w:szCs w:val="23"/>
        </w:rPr>
        <w:t xml:space="preserve">ante a </w:t>
      </w:r>
      <w:r w:rsidR="00313818">
        <w:rPr>
          <w:rFonts w:ascii="Arial" w:hAnsi="Arial" w:cs="Arial"/>
          <w:sz w:val="23"/>
          <w:szCs w:val="23"/>
        </w:rPr>
        <w:t xml:space="preserve"> vigência </w:t>
      </w:r>
      <w:r w:rsidR="0036113B">
        <w:rPr>
          <w:rFonts w:ascii="Arial" w:hAnsi="Arial" w:cs="Arial"/>
          <w:sz w:val="23"/>
          <w:szCs w:val="23"/>
        </w:rPr>
        <w:t>d</w:t>
      </w:r>
      <w:r w:rsidR="00601A57">
        <w:rPr>
          <w:rFonts w:ascii="Arial" w:hAnsi="Arial" w:cs="Arial"/>
          <w:sz w:val="23"/>
          <w:szCs w:val="23"/>
        </w:rPr>
        <w:t>a</w:t>
      </w:r>
      <w:r w:rsidR="00313818">
        <w:rPr>
          <w:rFonts w:ascii="Arial" w:hAnsi="Arial" w:cs="Arial"/>
          <w:sz w:val="23"/>
          <w:szCs w:val="23"/>
        </w:rPr>
        <w:t xml:space="preserve"> Portaria de Outorga. </w:t>
      </w:r>
      <w:r w:rsidR="002D40D6">
        <w:rPr>
          <w:rFonts w:ascii="Arial" w:hAnsi="Arial" w:cs="Arial"/>
          <w:sz w:val="23"/>
          <w:szCs w:val="23"/>
        </w:rPr>
        <w:t xml:space="preserve">Terceira, </w:t>
      </w:r>
      <w:r w:rsidR="005B0FA9">
        <w:rPr>
          <w:rFonts w:ascii="Arial" w:hAnsi="Arial" w:cs="Arial"/>
          <w:sz w:val="23"/>
          <w:szCs w:val="23"/>
        </w:rPr>
        <w:t xml:space="preserve">O empreendedor deverá encaminhar </w:t>
      </w:r>
      <w:r w:rsidR="00217F06">
        <w:rPr>
          <w:rFonts w:ascii="Arial" w:hAnsi="Arial" w:cs="Arial"/>
          <w:sz w:val="23"/>
          <w:szCs w:val="23"/>
        </w:rPr>
        <w:t>anualmente ao CBH-Piracicaba</w:t>
      </w:r>
      <w:r w:rsidR="000877E2">
        <w:rPr>
          <w:rFonts w:ascii="Arial" w:hAnsi="Arial" w:cs="Arial"/>
          <w:sz w:val="23"/>
          <w:szCs w:val="23"/>
        </w:rPr>
        <w:t>/MG</w:t>
      </w:r>
      <w:r w:rsidR="00217F06">
        <w:rPr>
          <w:rFonts w:ascii="Arial" w:hAnsi="Arial" w:cs="Arial"/>
          <w:sz w:val="23"/>
          <w:szCs w:val="23"/>
        </w:rPr>
        <w:t>, em formato de relatório técnico</w:t>
      </w:r>
      <w:r w:rsidR="002058B4">
        <w:rPr>
          <w:rFonts w:ascii="Arial" w:hAnsi="Arial" w:cs="Arial"/>
          <w:sz w:val="23"/>
          <w:szCs w:val="23"/>
        </w:rPr>
        <w:t>, a consolidação dos resultados dos monitoramentos realizados nas condicionantes</w:t>
      </w:r>
      <w:r w:rsidR="004701C9">
        <w:rPr>
          <w:rFonts w:ascii="Arial" w:hAnsi="Arial" w:cs="Arial"/>
          <w:sz w:val="23"/>
          <w:szCs w:val="23"/>
        </w:rPr>
        <w:t xml:space="preserve"> 1 e 2. </w:t>
      </w:r>
      <w:r w:rsidR="00313818">
        <w:rPr>
          <w:rFonts w:ascii="Arial" w:hAnsi="Arial" w:cs="Arial"/>
          <w:sz w:val="23"/>
          <w:szCs w:val="23"/>
        </w:rPr>
        <w:t xml:space="preserve">Prazo durante a </w:t>
      </w:r>
      <w:r w:rsidR="0036113B">
        <w:rPr>
          <w:rFonts w:ascii="Arial" w:hAnsi="Arial" w:cs="Arial"/>
          <w:sz w:val="23"/>
          <w:szCs w:val="23"/>
        </w:rPr>
        <w:t>vigência d</w:t>
      </w:r>
      <w:r w:rsidR="00601A57">
        <w:rPr>
          <w:rFonts w:ascii="Arial" w:hAnsi="Arial" w:cs="Arial"/>
          <w:sz w:val="23"/>
          <w:szCs w:val="23"/>
        </w:rPr>
        <w:t xml:space="preserve">a </w:t>
      </w:r>
      <w:r w:rsidR="00313818">
        <w:rPr>
          <w:rFonts w:ascii="Arial" w:hAnsi="Arial" w:cs="Arial"/>
          <w:sz w:val="23"/>
          <w:szCs w:val="23"/>
        </w:rPr>
        <w:t xml:space="preserve">Portaria de Outorga. </w:t>
      </w:r>
      <w:r w:rsidR="007F42E2">
        <w:rPr>
          <w:rFonts w:ascii="Arial" w:hAnsi="Arial" w:cs="Arial"/>
          <w:sz w:val="23"/>
          <w:szCs w:val="23"/>
        </w:rPr>
        <w:t>Quarta</w:t>
      </w:r>
      <w:r w:rsidR="00935F99">
        <w:rPr>
          <w:rFonts w:ascii="Arial" w:hAnsi="Arial" w:cs="Arial"/>
          <w:sz w:val="23"/>
          <w:szCs w:val="23"/>
        </w:rPr>
        <w:t>, informar imediatamente ao CBH</w:t>
      </w:r>
      <w:r w:rsidR="000877E2">
        <w:rPr>
          <w:rFonts w:ascii="Arial" w:hAnsi="Arial" w:cs="Arial"/>
          <w:sz w:val="23"/>
          <w:szCs w:val="23"/>
        </w:rPr>
        <w:t>-Piracicaba/MG</w:t>
      </w:r>
      <w:r w:rsidR="00935F99">
        <w:rPr>
          <w:rFonts w:ascii="Arial" w:hAnsi="Arial" w:cs="Arial"/>
          <w:sz w:val="23"/>
          <w:szCs w:val="23"/>
        </w:rPr>
        <w:t xml:space="preserve"> </w:t>
      </w:r>
      <w:r w:rsidR="000877E2">
        <w:rPr>
          <w:rFonts w:ascii="Arial" w:hAnsi="Arial" w:cs="Arial"/>
          <w:sz w:val="23"/>
          <w:szCs w:val="23"/>
        </w:rPr>
        <w:t xml:space="preserve"> sobre qualquer anormalidade</w:t>
      </w:r>
      <w:r w:rsidR="003F7757">
        <w:rPr>
          <w:rFonts w:ascii="Arial" w:hAnsi="Arial" w:cs="Arial"/>
          <w:sz w:val="23"/>
          <w:szCs w:val="23"/>
        </w:rPr>
        <w:t xml:space="preserve"> quali-quantitativa das águas supeficiais, decorentes das atividades do empreendedor</w:t>
      </w:r>
      <w:r w:rsidR="00965C22">
        <w:rPr>
          <w:rFonts w:ascii="Arial" w:hAnsi="Arial" w:cs="Arial"/>
          <w:sz w:val="23"/>
          <w:szCs w:val="23"/>
        </w:rPr>
        <w:t>. Quinta, apresentar os dados de monitoramento</w:t>
      </w:r>
      <w:r w:rsidR="003E2CAA">
        <w:rPr>
          <w:rFonts w:ascii="Arial" w:hAnsi="Arial" w:cs="Arial"/>
          <w:sz w:val="23"/>
          <w:szCs w:val="23"/>
        </w:rPr>
        <w:t xml:space="preserve"> a autoridade outorgante no momento da renov</w:t>
      </w:r>
      <w:r w:rsidR="00313818">
        <w:rPr>
          <w:rFonts w:ascii="Arial" w:hAnsi="Arial" w:cs="Arial"/>
          <w:sz w:val="23"/>
          <w:szCs w:val="23"/>
        </w:rPr>
        <w:t>a</w:t>
      </w:r>
      <w:r w:rsidR="003E2CAA">
        <w:rPr>
          <w:rFonts w:ascii="Arial" w:hAnsi="Arial" w:cs="Arial"/>
          <w:sz w:val="23"/>
          <w:szCs w:val="23"/>
        </w:rPr>
        <w:t>ção da regularização do uso de recursos hídricos</w:t>
      </w:r>
      <w:r w:rsidR="003E3F71">
        <w:rPr>
          <w:rFonts w:ascii="Arial" w:hAnsi="Arial" w:cs="Arial"/>
          <w:sz w:val="23"/>
          <w:szCs w:val="23"/>
        </w:rPr>
        <w:t>, por meio digital, bem como quando solicitados por órgão integrante</w:t>
      </w:r>
      <w:r w:rsidR="00F30C73">
        <w:rPr>
          <w:rFonts w:ascii="Arial" w:hAnsi="Arial" w:cs="Arial"/>
          <w:sz w:val="23"/>
          <w:szCs w:val="23"/>
        </w:rPr>
        <w:t xml:space="preserve"> do SISEMA, ou entidade por ele delegada. </w:t>
      </w:r>
      <w:r w:rsidR="007B2F24">
        <w:rPr>
          <w:rFonts w:ascii="Arial" w:hAnsi="Arial" w:cs="Arial"/>
          <w:sz w:val="23"/>
          <w:szCs w:val="23"/>
        </w:rPr>
        <w:t>Prosseguindo, a palavra foi</w:t>
      </w:r>
      <w:r w:rsidR="004D74AF">
        <w:rPr>
          <w:rFonts w:ascii="Arial" w:hAnsi="Arial" w:cs="Arial"/>
          <w:sz w:val="23"/>
          <w:szCs w:val="23"/>
        </w:rPr>
        <w:t xml:space="preserve"> direcionada ao presidente da CTOC, José Ângelo paganini</w:t>
      </w:r>
      <w:r w:rsidR="00F551B1">
        <w:rPr>
          <w:rFonts w:ascii="Arial" w:hAnsi="Arial" w:cs="Arial"/>
          <w:sz w:val="23"/>
          <w:szCs w:val="23"/>
        </w:rPr>
        <w:t>. Ele relatou que a reunião foi</w:t>
      </w:r>
      <w:r w:rsidR="00E169DA">
        <w:rPr>
          <w:rFonts w:ascii="Arial" w:hAnsi="Arial" w:cs="Arial"/>
          <w:sz w:val="23"/>
          <w:szCs w:val="23"/>
        </w:rPr>
        <w:t xml:space="preserve"> bem </w:t>
      </w:r>
      <w:r w:rsidR="00E169DA">
        <w:rPr>
          <w:rFonts w:ascii="Arial" w:hAnsi="Arial" w:cs="Arial"/>
          <w:sz w:val="23"/>
          <w:szCs w:val="23"/>
        </w:rPr>
        <w:lastRenderedPageBreak/>
        <w:t xml:space="preserve">sucedida </w:t>
      </w:r>
      <w:r w:rsidR="00282442">
        <w:rPr>
          <w:rFonts w:ascii="Arial" w:hAnsi="Arial" w:cs="Arial"/>
          <w:sz w:val="23"/>
          <w:szCs w:val="23"/>
        </w:rPr>
        <w:t>com possibilidade a todos</w:t>
      </w:r>
      <w:r w:rsidR="00BC0121">
        <w:rPr>
          <w:rFonts w:ascii="Arial" w:hAnsi="Arial" w:cs="Arial"/>
          <w:sz w:val="23"/>
          <w:szCs w:val="23"/>
        </w:rPr>
        <w:t xml:space="preserve"> de</w:t>
      </w:r>
      <w:r w:rsidR="00282442">
        <w:rPr>
          <w:rFonts w:ascii="Arial" w:hAnsi="Arial" w:cs="Arial"/>
          <w:sz w:val="23"/>
          <w:szCs w:val="23"/>
        </w:rPr>
        <w:t xml:space="preserve"> expor suas opiniões</w:t>
      </w:r>
      <w:r w:rsidR="00E17D18">
        <w:rPr>
          <w:rFonts w:ascii="Arial" w:hAnsi="Arial" w:cs="Arial"/>
          <w:sz w:val="23"/>
          <w:szCs w:val="23"/>
        </w:rPr>
        <w:t>. A</w:t>
      </w:r>
      <w:r w:rsidR="000006C4">
        <w:rPr>
          <w:rFonts w:ascii="Arial" w:hAnsi="Arial" w:cs="Arial"/>
          <w:sz w:val="23"/>
          <w:szCs w:val="23"/>
        </w:rPr>
        <w:t>s</w:t>
      </w:r>
      <w:r w:rsidR="00282442">
        <w:rPr>
          <w:rFonts w:ascii="Arial" w:hAnsi="Arial" w:cs="Arial"/>
          <w:sz w:val="23"/>
          <w:szCs w:val="23"/>
        </w:rPr>
        <w:t xml:space="preserve"> Câmara</w:t>
      </w:r>
      <w:r w:rsidR="000006C4">
        <w:rPr>
          <w:rFonts w:ascii="Arial" w:hAnsi="Arial" w:cs="Arial"/>
          <w:sz w:val="23"/>
          <w:szCs w:val="23"/>
        </w:rPr>
        <w:t>s</w:t>
      </w:r>
      <w:r w:rsidR="00282442">
        <w:rPr>
          <w:rFonts w:ascii="Arial" w:hAnsi="Arial" w:cs="Arial"/>
          <w:sz w:val="23"/>
          <w:szCs w:val="23"/>
        </w:rPr>
        <w:t xml:space="preserve"> Técnica</w:t>
      </w:r>
      <w:r w:rsidR="000006C4">
        <w:rPr>
          <w:rFonts w:ascii="Arial" w:hAnsi="Arial" w:cs="Arial"/>
          <w:sz w:val="23"/>
          <w:szCs w:val="23"/>
        </w:rPr>
        <w:t>s</w:t>
      </w:r>
      <w:r w:rsidR="00282442">
        <w:rPr>
          <w:rFonts w:ascii="Arial" w:hAnsi="Arial" w:cs="Arial"/>
          <w:sz w:val="23"/>
          <w:szCs w:val="23"/>
        </w:rPr>
        <w:t xml:space="preserve"> </w:t>
      </w:r>
      <w:r w:rsidR="000006C4">
        <w:rPr>
          <w:rFonts w:ascii="Arial" w:hAnsi="Arial" w:cs="Arial"/>
          <w:sz w:val="23"/>
          <w:szCs w:val="23"/>
        </w:rPr>
        <w:t>ch</w:t>
      </w:r>
      <w:r w:rsidR="00B00DB9">
        <w:rPr>
          <w:rFonts w:ascii="Arial" w:hAnsi="Arial" w:cs="Arial"/>
          <w:sz w:val="23"/>
          <w:szCs w:val="23"/>
        </w:rPr>
        <w:t>e</w:t>
      </w:r>
      <w:r w:rsidR="000006C4">
        <w:rPr>
          <w:rFonts w:ascii="Arial" w:hAnsi="Arial" w:cs="Arial"/>
          <w:sz w:val="23"/>
          <w:szCs w:val="23"/>
        </w:rPr>
        <w:t xml:space="preserve">garam ao </w:t>
      </w:r>
      <w:r w:rsidR="00B00DB9">
        <w:rPr>
          <w:rFonts w:ascii="Arial" w:hAnsi="Arial" w:cs="Arial"/>
          <w:sz w:val="23"/>
          <w:szCs w:val="23"/>
        </w:rPr>
        <w:t>con</w:t>
      </w:r>
      <w:r w:rsidR="00515FB7">
        <w:rPr>
          <w:rFonts w:ascii="Arial" w:hAnsi="Arial" w:cs="Arial"/>
          <w:sz w:val="23"/>
          <w:szCs w:val="23"/>
        </w:rPr>
        <w:t>s</w:t>
      </w:r>
      <w:r w:rsidR="00B00DB9">
        <w:rPr>
          <w:rFonts w:ascii="Arial" w:hAnsi="Arial" w:cs="Arial"/>
          <w:sz w:val="23"/>
          <w:szCs w:val="23"/>
        </w:rPr>
        <w:t>enso</w:t>
      </w:r>
      <w:r w:rsidR="004A3BF5">
        <w:rPr>
          <w:rFonts w:ascii="Arial" w:hAnsi="Arial" w:cs="Arial"/>
          <w:sz w:val="23"/>
          <w:szCs w:val="23"/>
        </w:rPr>
        <w:t xml:space="preserve"> de que é necessário</w:t>
      </w:r>
      <w:r w:rsidR="00733397">
        <w:rPr>
          <w:rFonts w:ascii="Arial" w:hAnsi="Arial" w:cs="Arial"/>
          <w:sz w:val="23"/>
          <w:szCs w:val="23"/>
        </w:rPr>
        <w:t>,</w:t>
      </w:r>
      <w:r w:rsidR="00E17D18">
        <w:rPr>
          <w:rFonts w:ascii="Arial" w:hAnsi="Arial" w:cs="Arial"/>
          <w:sz w:val="23"/>
          <w:szCs w:val="23"/>
        </w:rPr>
        <w:t xml:space="preserve"> </w:t>
      </w:r>
      <w:r w:rsidR="004A3BF5">
        <w:rPr>
          <w:rFonts w:ascii="Arial" w:hAnsi="Arial" w:cs="Arial"/>
          <w:sz w:val="23"/>
          <w:szCs w:val="23"/>
        </w:rPr>
        <w:t>dentro do processo</w:t>
      </w:r>
      <w:r w:rsidR="004341F7">
        <w:rPr>
          <w:rFonts w:ascii="Arial" w:hAnsi="Arial" w:cs="Arial"/>
          <w:sz w:val="23"/>
          <w:szCs w:val="23"/>
        </w:rPr>
        <w:t xml:space="preserve"> de enquadramento</w:t>
      </w:r>
      <w:r w:rsidR="00733397">
        <w:rPr>
          <w:rFonts w:ascii="Arial" w:hAnsi="Arial" w:cs="Arial"/>
          <w:sz w:val="23"/>
          <w:szCs w:val="23"/>
        </w:rPr>
        <w:t>,</w:t>
      </w:r>
      <w:r w:rsidR="004341F7">
        <w:rPr>
          <w:rFonts w:ascii="Arial" w:hAnsi="Arial" w:cs="Arial"/>
          <w:sz w:val="23"/>
          <w:szCs w:val="23"/>
        </w:rPr>
        <w:t xml:space="preserve"> as</w:t>
      </w:r>
      <w:r w:rsidR="00E17D18">
        <w:rPr>
          <w:rFonts w:ascii="Arial" w:hAnsi="Arial" w:cs="Arial"/>
          <w:sz w:val="23"/>
          <w:szCs w:val="23"/>
        </w:rPr>
        <w:t xml:space="preserve"> condicionantes</w:t>
      </w:r>
      <w:r w:rsidR="004341F7">
        <w:rPr>
          <w:rFonts w:ascii="Arial" w:hAnsi="Arial" w:cs="Arial"/>
          <w:sz w:val="23"/>
          <w:szCs w:val="23"/>
        </w:rPr>
        <w:t xml:space="preserve"> citadas para bom acompanhamento</w:t>
      </w:r>
      <w:r w:rsidR="00733397">
        <w:rPr>
          <w:rFonts w:ascii="Arial" w:hAnsi="Arial" w:cs="Arial"/>
          <w:sz w:val="23"/>
          <w:szCs w:val="23"/>
        </w:rPr>
        <w:t>. Visto que, o curso d’água vai ser canalizado mas pode vir a ter alterações</w:t>
      </w:r>
      <w:r w:rsidR="000529D5">
        <w:rPr>
          <w:rFonts w:ascii="Arial" w:hAnsi="Arial" w:cs="Arial"/>
          <w:sz w:val="23"/>
          <w:szCs w:val="23"/>
        </w:rPr>
        <w:t xml:space="preserve"> nas suas qualidades em função de alguma variação nos resíduos sólidos</w:t>
      </w:r>
      <w:r w:rsidR="00BC0121">
        <w:rPr>
          <w:rFonts w:ascii="Arial" w:hAnsi="Arial" w:cs="Arial"/>
          <w:sz w:val="23"/>
          <w:szCs w:val="23"/>
        </w:rPr>
        <w:t xml:space="preserve"> empilhados.</w:t>
      </w:r>
      <w:r w:rsidR="00296168">
        <w:rPr>
          <w:rFonts w:ascii="Arial" w:hAnsi="Arial" w:cs="Arial"/>
          <w:sz w:val="23"/>
          <w:szCs w:val="23"/>
        </w:rPr>
        <w:t xml:space="preserve"> Agradece e se coloca </w:t>
      </w:r>
      <w:r w:rsidR="00E063EA">
        <w:rPr>
          <w:rFonts w:ascii="Arial" w:hAnsi="Arial" w:cs="Arial"/>
          <w:sz w:val="23"/>
          <w:szCs w:val="23"/>
        </w:rPr>
        <w:t>à</w:t>
      </w:r>
      <w:r w:rsidR="00296168">
        <w:rPr>
          <w:rFonts w:ascii="Arial" w:hAnsi="Arial" w:cs="Arial"/>
          <w:sz w:val="23"/>
          <w:szCs w:val="23"/>
        </w:rPr>
        <w:t xml:space="preserve"> disposição para esclarecimentos.</w:t>
      </w:r>
      <w:r w:rsidR="003D1FCD">
        <w:rPr>
          <w:rFonts w:ascii="Arial" w:hAnsi="Arial" w:cs="Arial"/>
          <w:sz w:val="23"/>
          <w:szCs w:val="23"/>
        </w:rPr>
        <w:t>Palavra direcionada a</w:t>
      </w:r>
      <w:r w:rsidR="00BE3065">
        <w:rPr>
          <w:rFonts w:ascii="Arial" w:hAnsi="Arial" w:cs="Arial"/>
          <w:sz w:val="23"/>
          <w:szCs w:val="23"/>
        </w:rPr>
        <w:t xml:space="preserve">o </w:t>
      </w:r>
      <w:r w:rsidR="00F22073">
        <w:rPr>
          <w:rFonts w:ascii="Arial" w:hAnsi="Arial" w:cs="Arial"/>
          <w:sz w:val="23"/>
          <w:szCs w:val="23"/>
        </w:rPr>
        <w:t>presidente da CTIL</w:t>
      </w:r>
      <w:r w:rsidR="009F7406">
        <w:rPr>
          <w:rFonts w:ascii="Arial" w:hAnsi="Arial" w:cs="Arial"/>
          <w:sz w:val="23"/>
          <w:szCs w:val="23"/>
        </w:rPr>
        <w:t xml:space="preserve">, </w:t>
      </w:r>
      <w:r w:rsidR="00BE3065">
        <w:rPr>
          <w:rFonts w:ascii="Arial" w:hAnsi="Arial" w:cs="Arial"/>
          <w:sz w:val="23"/>
          <w:szCs w:val="23"/>
        </w:rPr>
        <w:t>Anderson</w:t>
      </w:r>
      <w:r w:rsidR="00F22073">
        <w:rPr>
          <w:rFonts w:ascii="Arial" w:hAnsi="Arial" w:cs="Arial"/>
          <w:sz w:val="23"/>
          <w:szCs w:val="23"/>
        </w:rPr>
        <w:t xml:space="preserve"> </w:t>
      </w:r>
      <w:r w:rsidR="009F7406">
        <w:rPr>
          <w:rFonts w:ascii="Arial" w:hAnsi="Arial" w:cs="Arial"/>
          <w:sz w:val="23"/>
          <w:szCs w:val="23"/>
        </w:rPr>
        <w:t>J</w:t>
      </w:r>
      <w:r w:rsidR="00F22073">
        <w:rPr>
          <w:rFonts w:ascii="Arial" w:hAnsi="Arial" w:cs="Arial"/>
          <w:sz w:val="23"/>
          <w:szCs w:val="23"/>
        </w:rPr>
        <w:t>esus de Paula</w:t>
      </w:r>
      <w:r w:rsidR="00C84858">
        <w:rPr>
          <w:rFonts w:ascii="Arial" w:hAnsi="Arial" w:cs="Arial"/>
          <w:sz w:val="23"/>
          <w:szCs w:val="23"/>
        </w:rPr>
        <w:t xml:space="preserve"> que reforçou a fala de Paganini</w:t>
      </w:r>
      <w:r w:rsidR="00E93396">
        <w:rPr>
          <w:rFonts w:ascii="Arial" w:hAnsi="Arial" w:cs="Arial"/>
          <w:sz w:val="23"/>
          <w:szCs w:val="23"/>
        </w:rPr>
        <w:t>.</w:t>
      </w:r>
      <w:r w:rsidR="00205420">
        <w:rPr>
          <w:rFonts w:ascii="Arial" w:hAnsi="Arial" w:cs="Arial"/>
          <w:sz w:val="23"/>
          <w:szCs w:val="23"/>
        </w:rPr>
        <w:t xml:space="preserve"> Presidente do CBH-Piracicaba, Jorge Martins Borges</w:t>
      </w:r>
      <w:r w:rsidR="00E40AAE">
        <w:rPr>
          <w:rFonts w:ascii="Arial" w:hAnsi="Arial" w:cs="Arial"/>
          <w:sz w:val="23"/>
          <w:szCs w:val="23"/>
        </w:rPr>
        <w:t>,  chama a atenção dos conselheiros</w:t>
      </w:r>
      <w:r w:rsidR="003B3EF6">
        <w:rPr>
          <w:rFonts w:ascii="Arial" w:hAnsi="Arial" w:cs="Arial"/>
          <w:sz w:val="23"/>
          <w:szCs w:val="23"/>
        </w:rPr>
        <w:t xml:space="preserve"> ao fato de que </w:t>
      </w:r>
      <w:r w:rsidR="00146780">
        <w:rPr>
          <w:rFonts w:ascii="Arial" w:hAnsi="Arial" w:cs="Arial"/>
          <w:sz w:val="23"/>
          <w:szCs w:val="23"/>
        </w:rPr>
        <w:t>é preciso concen</w:t>
      </w:r>
      <w:r w:rsidR="00BE5F64">
        <w:rPr>
          <w:rFonts w:ascii="Arial" w:hAnsi="Arial" w:cs="Arial"/>
          <w:sz w:val="23"/>
          <w:szCs w:val="23"/>
        </w:rPr>
        <w:t>t</w:t>
      </w:r>
      <w:r w:rsidR="00146780">
        <w:rPr>
          <w:rFonts w:ascii="Arial" w:hAnsi="Arial" w:cs="Arial"/>
          <w:sz w:val="23"/>
          <w:szCs w:val="23"/>
        </w:rPr>
        <w:t xml:space="preserve">rar os dados  </w:t>
      </w:r>
      <w:r w:rsidR="00BE5F64">
        <w:rPr>
          <w:rFonts w:ascii="Arial" w:hAnsi="Arial" w:cs="Arial"/>
          <w:sz w:val="23"/>
          <w:szCs w:val="23"/>
        </w:rPr>
        <w:t xml:space="preserve">de monitoramento </w:t>
      </w:r>
      <w:r w:rsidR="003B3EF6">
        <w:rPr>
          <w:rFonts w:ascii="Arial" w:hAnsi="Arial" w:cs="Arial"/>
          <w:sz w:val="23"/>
          <w:szCs w:val="23"/>
        </w:rPr>
        <w:t>exis</w:t>
      </w:r>
      <w:r w:rsidR="00BE5F64">
        <w:rPr>
          <w:rFonts w:ascii="Arial" w:hAnsi="Arial" w:cs="Arial"/>
          <w:sz w:val="23"/>
          <w:szCs w:val="23"/>
        </w:rPr>
        <w:t>tentes</w:t>
      </w:r>
      <w:r w:rsidR="00040BE9">
        <w:rPr>
          <w:rFonts w:ascii="Arial" w:hAnsi="Arial" w:cs="Arial"/>
          <w:sz w:val="23"/>
          <w:szCs w:val="23"/>
        </w:rPr>
        <w:t>,</w:t>
      </w:r>
      <w:r w:rsidR="00BE5F64">
        <w:rPr>
          <w:rFonts w:ascii="Arial" w:hAnsi="Arial" w:cs="Arial"/>
          <w:sz w:val="23"/>
          <w:szCs w:val="23"/>
        </w:rPr>
        <w:t xml:space="preserve"> em algum lugar</w:t>
      </w:r>
      <w:r w:rsidR="000F6058">
        <w:rPr>
          <w:rFonts w:ascii="Arial" w:hAnsi="Arial" w:cs="Arial"/>
          <w:sz w:val="23"/>
          <w:szCs w:val="23"/>
        </w:rPr>
        <w:t xml:space="preserve"> de modo fácil a </w:t>
      </w:r>
      <w:r w:rsidR="00040BE9">
        <w:rPr>
          <w:rFonts w:ascii="Arial" w:hAnsi="Arial" w:cs="Arial"/>
          <w:sz w:val="23"/>
          <w:szCs w:val="23"/>
        </w:rPr>
        <w:t>serem monitorados</w:t>
      </w:r>
      <w:r w:rsidR="001C5CD0">
        <w:rPr>
          <w:rFonts w:ascii="Arial" w:hAnsi="Arial" w:cs="Arial"/>
          <w:sz w:val="23"/>
          <w:szCs w:val="23"/>
        </w:rPr>
        <w:t>.</w:t>
      </w:r>
      <w:r w:rsidR="00185759">
        <w:rPr>
          <w:rFonts w:ascii="Arial" w:hAnsi="Arial" w:cs="Arial"/>
          <w:sz w:val="23"/>
          <w:szCs w:val="23"/>
        </w:rPr>
        <w:t xml:space="preserve"> Juliana pergunta </w:t>
      </w:r>
      <w:r w:rsidR="005D3CC5">
        <w:rPr>
          <w:rFonts w:ascii="Arial" w:hAnsi="Arial" w:cs="Arial"/>
          <w:sz w:val="23"/>
          <w:szCs w:val="23"/>
        </w:rPr>
        <w:t>a todos os presentes</w:t>
      </w:r>
      <w:r w:rsidR="00185759">
        <w:rPr>
          <w:rFonts w:ascii="Arial" w:hAnsi="Arial" w:cs="Arial"/>
          <w:sz w:val="23"/>
          <w:szCs w:val="23"/>
        </w:rPr>
        <w:t xml:space="preserve"> se exi</w:t>
      </w:r>
      <w:r w:rsidR="001643AF">
        <w:rPr>
          <w:rFonts w:ascii="Arial" w:hAnsi="Arial" w:cs="Arial"/>
          <w:sz w:val="23"/>
          <w:szCs w:val="23"/>
        </w:rPr>
        <w:t>s</w:t>
      </w:r>
      <w:r w:rsidR="00185759">
        <w:rPr>
          <w:rFonts w:ascii="Arial" w:hAnsi="Arial" w:cs="Arial"/>
          <w:sz w:val="23"/>
          <w:szCs w:val="23"/>
        </w:rPr>
        <w:t>te alguma colocação em relação as condici</w:t>
      </w:r>
      <w:r w:rsidR="001643AF">
        <w:rPr>
          <w:rFonts w:ascii="Arial" w:hAnsi="Arial" w:cs="Arial"/>
          <w:sz w:val="23"/>
          <w:szCs w:val="23"/>
        </w:rPr>
        <w:t>o</w:t>
      </w:r>
      <w:r w:rsidR="00185759">
        <w:rPr>
          <w:rFonts w:ascii="Arial" w:hAnsi="Arial" w:cs="Arial"/>
          <w:sz w:val="23"/>
          <w:szCs w:val="23"/>
        </w:rPr>
        <w:t>nantes colocadas nos pareceres.</w:t>
      </w:r>
      <w:r w:rsidR="001643AF">
        <w:rPr>
          <w:rFonts w:ascii="Arial" w:hAnsi="Arial" w:cs="Arial"/>
          <w:sz w:val="23"/>
          <w:szCs w:val="23"/>
        </w:rPr>
        <w:t xml:space="preserve"> Lucas Costa</w:t>
      </w:r>
      <w:r w:rsidR="00B01A95">
        <w:rPr>
          <w:rFonts w:ascii="Arial" w:hAnsi="Arial" w:cs="Arial"/>
          <w:sz w:val="23"/>
          <w:szCs w:val="23"/>
        </w:rPr>
        <w:t xml:space="preserve"> Bicalho enaltece a importância</w:t>
      </w:r>
      <w:r w:rsidR="000E0E92">
        <w:rPr>
          <w:rFonts w:ascii="Arial" w:hAnsi="Arial" w:cs="Arial"/>
          <w:sz w:val="23"/>
          <w:szCs w:val="23"/>
        </w:rPr>
        <w:t xml:space="preserve"> das condicionantes</w:t>
      </w:r>
      <w:r w:rsidR="000700C0">
        <w:rPr>
          <w:rFonts w:ascii="Arial" w:hAnsi="Arial" w:cs="Arial"/>
          <w:sz w:val="23"/>
          <w:szCs w:val="23"/>
        </w:rPr>
        <w:t>,</w:t>
      </w:r>
      <w:r w:rsidR="00E87A49">
        <w:rPr>
          <w:rFonts w:ascii="Arial" w:hAnsi="Arial" w:cs="Arial"/>
          <w:sz w:val="23"/>
          <w:szCs w:val="23"/>
        </w:rPr>
        <w:t xml:space="preserve"> para todos os emprendimentos que vierem</w:t>
      </w:r>
      <w:r w:rsidR="000E0E92">
        <w:rPr>
          <w:rFonts w:ascii="Arial" w:hAnsi="Arial" w:cs="Arial"/>
          <w:sz w:val="23"/>
          <w:szCs w:val="23"/>
        </w:rPr>
        <w:t>, em especial as relacionadas ao Rio Santa Bárbara</w:t>
      </w:r>
      <w:r w:rsidR="00F13C6A">
        <w:rPr>
          <w:rFonts w:ascii="Arial" w:hAnsi="Arial" w:cs="Arial"/>
          <w:sz w:val="23"/>
          <w:szCs w:val="23"/>
        </w:rPr>
        <w:t>, por ser o</w:t>
      </w:r>
      <w:r w:rsidR="00895567">
        <w:rPr>
          <w:rFonts w:ascii="Arial" w:hAnsi="Arial" w:cs="Arial"/>
          <w:sz w:val="23"/>
          <w:szCs w:val="23"/>
        </w:rPr>
        <w:t xml:space="preserve"> principal </w:t>
      </w:r>
      <w:r w:rsidR="00F13C6A">
        <w:rPr>
          <w:rFonts w:ascii="Arial" w:hAnsi="Arial" w:cs="Arial"/>
          <w:sz w:val="23"/>
          <w:szCs w:val="23"/>
        </w:rPr>
        <w:t xml:space="preserve"> Rio de João Monlevade.</w:t>
      </w:r>
      <w:r w:rsidR="007E387F">
        <w:rPr>
          <w:rFonts w:ascii="Arial" w:hAnsi="Arial" w:cs="Arial"/>
          <w:sz w:val="23"/>
          <w:szCs w:val="23"/>
        </w:rPr>
        <w:t xml:space="preserve"> Ele reforça a ter atenção</w:t>
      </w:r>
      <w:r w:rsidR="00AE3F78">
        <w:rPr>
          <w:rFonts w:ascii="Arial" w:hAnsi="Arial" w:cs="Arial"/>
          <w:sz w:val="23"/>
          <w:szCs w:val="23"/>
        </w:rPr>
        <w:t xml:space="preserve"> com os níveis de ferro</w:t>
      </w:r>
      <w:r w:rsidR="00CE33A9">
        <w:rPr>
          <w:rFonts w:ascii="Arial" w:hAnsi="Arial" w:cs="Arial"/>
          <w:sz w:val="23"/>
          <w:szCs w:val="23"/>
        </w:rPr>
        <w:t>,</w:t>
      </w:r>
      <w:r w:rsidR="00AE3F78">
        <w:rPr>
          <w:rFonts w:ascii="Arial" w:hAnsi="Arial" w:cs="Arial"/>
          <w:sz w:val="23"/>
          <w:szCs w:val="23"/>
        </w:rPr>
        <w:t xml:space="preserve"> manganês</w:t>
      </w:r>
      <w:r w:rsidR="00CE33A9">
        <w:rPr>
          <w:rFonts w:ascii="Arial" w:hAnsi="Arial" w:cs="Arial"/>
          <w:sz w:val="23"/>
          <w:szCs w:val="23"/>
        </w:rPr>
        <w:t xml:space="preserve"> e alumínio.</w:t>
      </w:r>
      <w:r w:rsidR="00302657">
        <w:rPr>
          <w:rFonts w:ascii="Arial" w:hAnsi="Arial" w:cs="Arial"/>
          <w:sz w:val="23"/>
          <w:szCs w:val="23"/>
        </w:rPr>
        <w:t xml:space="preserve"> Marcelo Buffon da ARCELOR</w:t>
      </w:r>
      <w:r w:rsidR="00F3247C">
        <w:rPr>
          <w:rFonts w:ascii="Arial" w:hAnsi="Arial" w:cs="Arial"/>
          <w:sz w:val="23"/>
          <w:szCs w:val="23"/>
        </w:rPr>
        <w:t xml:space="preserve"> </w:t>
      </w:r>
      <w:r w:rsidR="00302657">
        <w:rPr>
          <w:rFonts w:ascii="Arial" w:hAnsi="Arial" w:cs="Arial"/>
          <w:sz w:val="23"/>
          <w:szCs w:val="23"/>
        </w:rPr>
        <w:t>MITTAL</w:t>
      </w:r>
      <w:r w:rsidR="00F3247C">
        <w:rPr>
          <w:rFonts w:ascii="Arial" w:hAnsi="Arial" w:cs="Arial"/>
          <w:sz w:val="23"/>
          <w:szCs w:val="23"/>
        </w:rPr>
        <w:t xml:space="preserve"> </w:t>
      </w:r>
      <w:r w:rsidR="00A6045A">
        <w:rPr>
          <w:rFonts w:ascii="Arial" w:hAnsi="Arial" w:cs="Arial"/>
          <w:sz w:val="23"/>
          <w:szCs w:val="23"/>
        </w:rPr>
        <w:t xml:space="preserve"> salienta a concordância com as condicionantes</w:t>
      </w:r>
      <w:r w:rsidR="007275A7">
        <w:rPr>
          <w:rFonts w:ascii="Arial" w:hAnsi="Arial" w:cs="Arial"/>
          <w:sz w:val="23"/>
          <w:szCs w:val="23"/>
        </w:rPr>
        <w:t xml:space="preserve"> propostas e e</w:t>
      </w:r>
      <w:r w:rsidR="000D156D">
        <w:rPr>
          <w:rFonts w:ascii="Arial" w:hAnsi="Arial" w:cs="Arial"/>
          <w:sz w:val="23"/>
          <w:szCs w:val="23"/>
        </w:rPr>
        <w:t>s</w:t>
      </w:r>
      <w:r w:rsidR="007275A7">
        <w:rPr>
          <w:rFonts w:ascii="Arial" w:hAnsi="Arial" w:cs="Arial"/>
          <w:sz w:val="23"/>
          <w:szCs w:val="23"/>
        </w:rPr>
        <w:t>tende mais uma vez a gratidão pela disponibilidade e antecipação</w:t>
      </w:r>
      <w:r w:rsidR="00632EB0">
        <w:rPr>
          <w:rFonts w:ascii="Arial" w:hAnsi="Arial" w:cs="Arial"/>
          <w:sz w:val="23"/>
          <w:szCs w:val="23"/>
        </w:rPr>
        <w:t xml:space="preserve"> dos prazos</w:t>
      </w:r>
      <w:r w:rsidR="000D156D">
        <w:rPr>
          <w:rFonts w:ascii="Arial" w:hAnsi="Arial" w:cs="Arial"/>
          <w:sz w:val="23"/>
          <w:szCs w:val="23"/>
        </w:rPr>
        <w:t xml:space="preserve"> ficando </w:t>
      </w:r>
      <w:r w:rsidR="00BA24DB">
        <w:rPr>
          <w:rFonts w:ascii="Arial" w:hAnsi="Arial" w:cs="Arial"/>
          <w:sz w:val="23"/>
          <w:szCs w:val="23"/>
        </w:rPr>
        <w:t>à</w:t>
      </w:r>
      <w:r w:rsidR="000D156D">
        <w:rPr>
          <w:rFonts w:ascii="Arial" w:hAnsi="Arial" w:cs="Arial"/>
          <w:sz w:val="23"/>
          <w:szCs w:val="23"/>
        </w:rPr>
        <w:t xml:space="preserve"> disposição em nome d</w:t>
      </w:r>
      <w:r w:rsidR="00525CC6">
        <w:rPr>
          <w:rFonts w:ascii="Arial" w:hAnsi="Arial" w:cs="Arial"/>
          <w:sz w:val="23"/>
          <w:szCs w:val="23"/>
        </w:rPr>
        <w:t>o empreendedor. Não havendo mais colocações</w:t>
      </w:r>
      <w:r w:rsidR="00C2027E">
        <w:rPr>
          <w:rFonts w:ascii="Arial" w:hAnsi="Arial" w:cs="Arial"/>
          <w:sz w:val="23"/>
          <w:szCs w:val="23"/>
        </w:rPr>
        <w:t>,</w:t>
      </w:r>
      <w:r w:rsidR="00525CC6">
        <w:rPr>
          <w:rFonts w:ascii="Arial" w:hAnsi="Arial" w:cs="Arial"/>
          <w:sz w:val="23"/>
          <w:szCs w:val="23"/>
        </w:rPr>
        <w:t xml:space="preserve"> Juliana</w:t>
      </w:r>
      <w:r w:rsidR="00CA22DF">
        <w:rPr>
          <w:rFonts w:ascii="Arial" w:hAnsi="Arial" w:cs="Arial"/>
          <w:sz w:val="23"/>
          <w:szCs w:val="23"/>
        </w:rPr>
        <w:t xml:space="preserve"> pede a manifestação de todos quanto a aprovação dos </w:t>
      </w:r>
      <w:r w:rsidR="00C2027E">
        <w:rPr>
          <w:rFonts w:ascii="Arial" w:hAnsi="Arial" w:cs="Arial"/>
          <w:sz w:val="23"/>
          <w:szCs w:val="23"/>
        </w:rPr>
        <w:t>dois P</w:t>
      </w:r>
      <w:r w:rsidR="00CA22DF">
        <w:rPr>
          <w:rFonts w:ascii="Arial" w:hAnsi="Arial" w:cs="Arial"/>
          <w:sz w:val="23"/>
          <w:szCs w:val="23"/>
        </w:rPr>
        <w:t>rocesso</w:t>
      </w:r>
      <w:r w:rsidR="00C2027E">
        <w:rPr>
          <w:rFonts w:ascii="Arial" w:hAnsi="Arial" w:cs="Arial"/>
          <w:sz w:val="23"/>
          <w:szCs w:val="23"/>
        </w:rPr>
        <w:t xml:space="preserve">s </w:t>
      </w:r>
      <w:r w:rsidR="00CA22DF">
        <w:rPr>
          <w:rFonts w:ascii="Arial" w:hAnsi="Arial" w:cs="Arial"/>
          <w:sz w:val="23"/>
          <w:szCs w:val="23"/>
        </w:rPr>
        <w:t xml:space="preserve">de </w:t>
      </w:r>
      <w:r w:rsidR="00C2027E">
        <w:rPr>
          <w:rFonts w:ascii="Arial" w:hAnsi="Arial" w:cs="Arial"/>
          <w:sz w:val="23"/>
          <w:szCs w:val="23"/>
        </w:rPr>
        <w:t>O</w:t>
      </w:r>
      <w:r w:rsidR="00CA22DF">
        <w:rPr>
          <w:rFonts w:ascii="Arial" w:hAnsi="Arial" w:cs="Arial"/>
          <w:sz w:val="23"/>
          <w:szCs w:val="23"/>
        </w:rPr>
        <w:t>utorgas requeridos pela</w:t>
      </w:r>
      <w:r w:rsidR="00CF5DCA">
        <w:rPr>
          <w:rFonts w:ascii="Arial" w:hAnsi="Arial" w:cs="Arial"/>
          <w:sz w:val="23"/>
          <w:szCs w:val="23"/>
        </w:rPr>
        <w:t xml:space="preserve"> ARCELOR MITTAL com a inclusão das condicionantes</w:t>
      </w:r>
      <w:r w:rsidR="00CD6352">
        <w:rPr>
          <w:rFonts w:ascii="Arial" w:hAnsi="Arial" w:cs="Arial"/>
          <w:sz w:val="23"/>
          <w:szCs w:val="23"/>
        </w:rPr>
        <w:t xml:space="preserve"> apresentadas nos pareceres das Câmaras Técnicas</w:t>
      </w:r>
      <w:r w:rsidR="00C2027E">
        <w:rPr>
          <w:rFonts w:ascii="Arial" w:hAnsi="Arial" w:cs="Arial"/>
          <w:sz w:val="23"/>
          <w:szCs w:val="23"/>
        </w:rPr>
        <w:t>.</w:t>
      </w:r>
      <w:r w:rsidR="000648B3">
        <w:rPr>
          <w:rFonts w:ascii="Arial" w:hAnsi="Arial" w:cs="Arial"/>
          <w:sz w:val="23"/>
          <w:szCs w:val="23"/>
        </w:rPr>
        <w:t xml:space="preserve"> </w:t>
      </w:r>
      <w:r w:rsidR="00AD04C7">
        <w:rPr>
          <w:rFonts w:ascii="Arial" w:hAnsi="Arial" w:cs="Arial"/>
          <w:sz w:val="23"/>
          <w:szCs w:val="23"/>
        </w:rPr>
        <w:t>Processo aprovado c</w:t>
      </w:r>
      <w:r w:rsidR="00C838D5">
        <w:rPr>
          <w:rFonts w:ascii="Arial" w:hAnsi="Arial" w:cs="Arial"/>
          <w:sz w:val="23"/>
          <w:szCs w:val="23"/>
        </w:rPr>
        <w:t>om dois votos contrários dos conselheiros Regiane e Marc</w:t>
      </w:r>
      <w:r w:rsidR="00FA034A">
        <w:rPr>
          <w:rFonts w:ascii="Arial" w:hAnsi="Arial" w:cs="Arial"/>
          <w:sz w:val="23"/>
          <w:szCs w:val="23"/>
        </w:rPr>
        <w:t>elo. Foi dada opo</w:t>
      </w:r>
      <w:r w:rsidR="00291DF5">
        <w:rPr>
          <w:rFonts w:ascii="Arial" w:hAnsi="Arial" w:cs="Arial"/>
          <w:sz w:val="23"/>
          <w:szCs w:val="23"/>
        </w:rPr>
        <w:t>r</w:t>
      </w:r>
      <w:r w:rsidR="00FA034A">
        <w:rPr>
          <w:rFonts w:ascii="Arial" w:hAnsi="Arial" w:cs="Arial"/>
          <w:sz w:val="23"/>
          <w:szCs w:val="23"/>
        </w:rPr>
        <w:t xml:space="preserve">tunidade </w:t>
      </w:r>
      <w:r w:rsidR="00291DF5">
        <w:rPr>
          <w:rFonts w:ascii="Arial" w:hAnsi="Arial" w:cs="Arial"/>
          <w:sz w:val="23"/>
          <w:szCs w:val="23"/>
        </w:rPr>
        <w:t xml:space="preserve"> para os mesmos </w:t>
      </w:r>
      <w:r w:rsidR="00626955">
        <w:rPr>
          <w:rFonts w:ascii="Arial" w:hAnsi="Arial" w:cs="Arial"/>
          <w:sz w:val="23"/>
          <w:szCs w:val="23"/>
        </w:rPr>
        <w:t>expressarem o motivo do voto contrário.</w:t>
      </w:r>
      <w:r w:rsidR="00A205DE">
        <w:rPr>
          <w:rFonts w:ascii="Arial" w:hAnsi="Arial" w:cs="Arial"/>
          <w:sz w:val="23"/>
          <w:szCs w:val="23"/>
        </w:rPr>
        <w:t xml:space="preserve"> Regiane </w:t>
      </w:r>
      <w:r w:rsidR="00F05955">
        <w:rPr>
          <w:rFonts w:ascii="Arial" w:hAnsi="Arial" w:cs="Arial"/>
          <w:sz w:val="23"/>
          <w:szCs w:val="23"/>
        </w:rPr>
        <w:t>justifica</w:t>
      </w:r>
      <w:r w:rsidR="00A205DE">
        <w:rPr>
          <w:rFonts w:ascii="Arial" w:hAnsi="Arial" w:cs="Arial"/>
          <w:sz w:val="23"/>
          <w:szCs w:val="23"/>
        </w:rPr>
        <w:t xml:space="preserve"> que sua preocupação é com relação às questões hídricas</w:t>
      </w:r>
      <w:r w:rsidR="002D61D7">
        <w:rPr>
          <w:rFonts w:ascii="Arial" w:hAnsi="Arial" w:cs="Arial"/>
          <w:sz w:val="23"/>
          <w:szCs w:val="23"/>
        </w:rPr>
        <w:t xml:space="preserve">. </w:t>
      </w:r>
      <w:r w:rsidR="00450B2E" w:rsidRPr="00187F4F">
        <w:rPr>
          <w:rFonts w:ascii="Arial" w:hAnsi="Arial" w:cs="Arial"/>
          <w:sz w:val="23"/>
          <w:szCs w:val="23"/>
        </w:rPr>
        <w:t xml:space="preserve">Não havendo outros assuntos a serem tratados, foi passada a palavra ao </w:t>
      </w:r>
      <w:r w:rsidR="00DD3AA6">
        <w:rPr>
          <w:rFonts w:ascii="Arial" w:hAnsi="Arial" w:cs="Arial"/>
          <w:sz w:val="23"/>
          <w:szCs w:val="23"/>
        </w:rPr>
        <w:t>presidente</w:t>
      </w:r>
      <w:r w:rsidR="00234CCB">
        <w:rPr>
          <w:rFonts w:ascii="Arial" w:hAnsi="Arial" w:cs="Arial"/>
          <w:sz w:val="23"/>
          <w:szCs w:val="23"/>
        </w:rPr>
        <w:t xml:space="preserve"> Jorge Martins Borges</w:t>
      </w:r>
      <w:r w:rsidR="001E22E3">
        <w:rPr>
          <w:rFonts w:ascii="Arial" w:hAnsi="Arial" w:cs="Arial"/>
          <w:sz w:val="23"/>
          <w:szCs w:val="23"/>
        </w:rPr>
        <w:t xml:space="preserve">, </w:t>
      </w:r>
      <w:r w:rsidR="00450B2E" w:rsidRPr="00187F4F">
        <w:rPr>
          <w:rFonts w:ascii="Arial" w:hAnsi="Arial" w:cs="Arial"/>
          <w:sz w:val="23"/>
          <w:szCs w:val="23"/>
        </w:rPr>
        <w:t>que agradeceu a todos</w:t>
      </w:r>
      <w:r w:rsidR="006B508E">
        <w:rPr>
          <w:rFonts w:ascii="Arial" w:hAnsi="Arial" w:cs="Arial"/>
          <w:sz w:val="23"/>
          <w:szCs w:val="23"/>
        </w:rPr>
        <w:t xml:space="preserve"> e</w:t>
      </w:r>
      <w:r w:rsidR="00450B2E" w:rsidRPr="00187F4F">
        <w:rPr>
          <w:rFonts w:ascii="Arial" w:hAnsi="Arial" w:cs="Arial"/>
          <w:sz w:val="23"/>
          <w:szCs w:val="23"/>
        </w:rPr>
        <w:t xml:space="preserve"> declarou encerrada a reunião</w:t>
      </w:r>
      <w:r w:rsidR="001D513B">
        <w:rPr>
          <w:rFonts w:ascii="Arial" w:hAnsi="Arial" w:cs="Arial"/>
          <w:sz w:val="23"/>
          <w:szCs w:val="23"/>
        </w:rPr>
        <w:t>.</w:t>
      </w:r>
      <w:r w:rsidR="00DE4564">
        <w:rPr>
          <w:rFonts w:ascii="Arial" w:hAnsi="Arial" w:cs="Arial"/>
          <w:sz w:val="23"/>
          <w:szCs w:val="23"/>
        </w:rPr>
        <w:t xml:space="preserve"> Estiveram</w:t>
      </w:r>
      <w:r w:rsidR="00D56E27">
        <w:rPr>
          <w:rFonts w:ascii="Arial" w:hAnsi="Arial" w:cs="Arial"/>
          <w:sz w:val="23"/>
          <w:szCs w:val="23"/>
        </w:rPr>
        <w:t xml:space="preserve"> presentes os seguintes conselheiros</w:t>
      </w:r>
      <w:r w:rsidR="00A374D4">
        <w:rPr>
          <w:rFonts w:ascii="Arial" w:hAnsi="Arial" w:cs="Arial"/>
          <w:sz w:val="23"/>
          <w:szCs w:val="23"/>
        </w:rPr>
        <w:t>:</w:t>
      </w:r>
      <w:r w:rsidR="00037502">
        <w:rPr>
          <w:rFonts w:ascii="Arial" w:hAnsi="Arial" w:cs="Arial"/>
          <w:sz w:val="23"/>
          <w:szCs w:val="23"/>
        </w:rPr>
        <w:t xml:space="preserve"> </w:t>
      </w:r>
      <w:r w:rsidR="00037502" w:rsidRPr="00037502">
        <w:rPr>
          <w:rFonts w:ascii="Arial" w:hAnsi="Arial" w:cs="Arial"/>
          <w:sz w:val="23"/>
          <w:szCs w:val="23"/>
        </w:rPr>
        <w:t>Jeane Sabrina Maia</w:t>
      </w:r>
      <w:r w:rsidR="00037502">
        <w:rPr>
          <w:rFonts w:ascii="Arial" w:hAnsi="Arial" w:cs="Arial"/>
          <w:sz w:val="23"/>
          <w:szCs w:val="23"/>
        </w:rPr>
        <w:t xml:space="preserve">, </w:t>
      </w:r>
      <w:r w:rsidR="00037502" w:rsidRPr="00037502">
        <w:rPr>
          <w:rFonts w:ascii="Arial" w:hAnsi="Arial" w:cs="Arial"/>
          <w:sz w:val="23"/>
          <w:szCs w:val="23"/>
        </w:rPr>
        <w:t>Lirriet de Freitas Liborio Oliveira</w:t>
      </w:r>
      <w:r w:rsidR="00BD3FB6">
        <w:rPr>
          <w:rFonts w:ascii="Arial" w:hAnsi="Arial" w:cs="Arial"/>
          <w:sz w:val="23"/>
          <w:szCs w:val="23"/>
        </w:rPr>
        <w:t xml:space="preserve">, </w:t>
      </w:r>
      <w:r w:rsidR="00BD3FB6" w:rsidRPr="00BD3FB6">
        <w:rPr>
          <w:rFonts w:ascii="Arial" w:hAnsi="Arial" w:cs="Arial"/>
          <w:sz w:val="23"/>
          <w:szCs w:val="23"/>
        </w:rPr>
        <w:t>Marcos Vinícius Castelar Ribeiro</w:t>
      </w:r>
      <w:r w:rsidR="00BD3FB6">
        <w:rPr>
          <w:rFonts w:ascii="Arial" w:hAnsi="Arial" w:cs="Arial"/>
          <w:sz w:val="23"/>
          <w:szCs w:val="23"/>
        </w:rPr>
        <w:t xml:space="preserve">, </w:t>
      </w:r>
      <w:r w:rsidR="00BD3FB6" w:rsidRPr="00BD3FB6">
        <w:rPr>
          <w:rFonts w:ascii="Arial" w:hAnsi="Arial" w:cs="Arial"/>
          <w:sz w:val="23"/>
          <w:szCs w:val="23"/>
        </w:rPr>
        <w:t>Rebeca Caroline Gonçalves de Souza</w:t>
      </w:r>
      <w:r w:rsidR="00487DAB">
        <w:rPr>
          <w:rFonts w:ascii="Arial" w:hAnsi="Arial" w:cs="Arial"/>
          <w:sz w:val="23"/>
          <w:szCs w:val="23"/>
        </w:rPr>
        <w:t xml:space="preserve">, </w:t>
      </w:r>
      <w:r w:rsidR="00487DAB" w:rsidRPr="00487DAB">
        <w:rPr>
          <w:rFonts w:ascii="Arial" w:hAnsi="Arial" w:cs="Arial"/>
          <w:sz w:val="23"/>
          <w:szCs w:val="23"/>
        </w:rPr>
        <w:t>Francisco de Assis Gonzaga da Silva</w:t>
      </w:r>
      <w:r w:rsidR="00487DAB">
        <w:rPr>
          <w:rFonts w:ascii="Arial" w:hAnsi="Arial" w:cs="Arial"/>
          <w:sz w:val="23"/>
          <w:szCs w:val="23"/>
        </w:rPr>
        <w:t xml:space="preserve">, </w:t>
      </w:r>
      <w:r w:rsidR="00487DAB" w:rsidRPr="00487DAB">
        <w:rPr>
          <w:rFonts w:ascii="Arial" w:hAnsi="Arial" w:cs="Arial"/>
          <w:sz w:val="23"/>
          <w:szCs w:val="23"/>
        </w:rPr>
        <w:t>Anderson Jesus de Paula</w:t>
      </w:r>
      <w:r w:rsidR="0010064A">
        <w:rPr>
          <w:rFonts w:ascii="Arial" w:hAnsi="Arial" w:cs="Arial"/>
          <w:sz w:val="23"/>
          <w:szCs w:val="23"/>
        </w:rPr>
        <w:t xml:space="preserve">, </w:t>
      </w:r>
      <w:r w:rsidR="0010064A" w:rsidRPr="0010064A">
        <w:rPr>
          <w:rFonts w:ascii="Arial" w:hAnsi="Arial" w:cs="Arial"/>
          <w:sz w:val="23"/>
          <w:szCs w:val="23"/>
        </w:rPr>
        <w:t>Ronaldo Lopes de Oliveira</w:t>
      </w:r>
      <w:r w:rsidR="0010064A">
        <w:rPr>
          <w:rFonts w:ascii="Arial" w:hAnsi="Arial" w:cs="Arial"/>
          <w:sz w:val="23"/>
          <w:szCs w:val="23"/>
        </w:rPr>
        <w:t xml:space="preserve">, </w:t>
      </w:r>
      <w:r w:rsidR="0010064A" w:rsidRPr="0010064A">
        <w:rPr>
          <w:rFonts w:ascii="Arial" w:hAnsi="Arial" w:cs="Arial"/>
          <w:sz w:val="23"/>
          <w:szCs w:val="23"/>
        </w:rPr>
        <w:t>Samuel Domingos da Silva</w:t>
      </w:r>
      <w:r w:rsidR="0010064A">
        <w:rPr>
          <w:rFonts w:ascii="Arial" w:hAnsi="Arial" w:cs="Arial"/>
          <w:sz w:val="23"/>
          <w:szCs w:val="23"/>
        </w:rPr>
        <w:t xml:space="preserve">, </w:t>
      </w:r>
      <w:r w:rsidR="0010064A" w:rsidRPr="0010064A">
        <w:rPr>
          <w:rFonts w:ascii="Arial" w:hAnsi="Arial" w:cs="Arial"/>
          <w:sz w:val="23"/>
          <w:szCs w:val="23"/>
        </w:rPr>
        <w:t>Flávia Lage Reis</w:t>
      </w:r>
      <w:r w:rsidR="00FE2613">
        <w:rPr>
          <w:rFonts w:ascii="Arial" w:hAnsi="Arial" w:cs="Arial"/>
          <w:sz w:val="23"/>
          <w:szCs w:val="23"/>
        </w:rPr>
        <w:t xml:space="preserve">, </w:t>
      </w:r>
      <w:r w:rsidR="00FE2613" w:rsidRPr="00FE2613">
        <w:rPr>
          <w:rFonts w:ascii="Arial" w:hAnsi="Arial" w:cs="Arial"/>
          <w:sz w:val="23"/>
          <w:szCs w:val="23"/>
        </w:rPr>
        <w:t>Lupeuara Oliveira Silva</w:t>
      </w:r>
      <w:r w:rsidR="00FE2613">
        <w:rPr>
          <w:rFonts w:ascii="Arial" w:hAnsi="Arial" w:cs="Arial"/>
          <w:sz w:val="23"/>
          <w:szCs w:val="23"/>
        </w:rPr>
        <w:t>,</w:t>
      </w:r>
      <w:r w:rsidR="00FE2613" w:rsidRPr="00FE2613">
        <w:t xml:space="preserve"> </w:t>
      </w:r>
      <w:r w:rsidR="00FE2613" w:rsidRPr="00FE2613">
        <w:rPr>
          <w:rFonts w:ascii="Arial" w:hAnsi="Arial" w:cs="Arial"/>
          <w:sz w:val="23"/>
          <w:szCs w:val="23"/>
        </w:rPr>
        <w:t>Sandra Alves Pereira</w:t>
      </w:r>
      <w:r w:rsidR="00FE2613">
        <w:rPr>
          <w:rFonts w:ascii="Arial" w:hAnsi="Arial" w:cs="Arial"/>
          <w:sz w:val="23"/>
          <w:szCs w:val="23"/>
        </w:rPr>
        <w:t xml:space="preserve">, </w:t>
      </w:r>
      <w:r w:rsidR="00FE2613" w:rsidRPr="00FE2613">
        <w:rPr>
          <w:rFonts w:ascii="Arial" w:hAnsi="Arial" w:cs="Arial"/>
          <w:sz w:val="23"/>
          <w:szCs w:val="23"/>
        </w:rPr>
        <w:t>Iara Magalhães Martins</w:t>
      </w:r>
      <w:r w:rsidR="000A7D5C">
        <w:rPr>
          <w:rFonts w:ascii="Arial" w:hAnsi="Arial" w:cs="Arial"/>
          <w:sz w:val="23"/>
          <w:szCs w:val="23"/>
        </w:rPr>
        <w:t xml:space="preserve">, </w:t>
      </w:r>
      <w:r w:rsidR="000A7D5C" w:rsidRPr="000A7D5C">
        <w:rPr>
          <w:rFonts w:ascii="Arial" w:hAnsi="Arial" w:cs="Arial"/>
          <w:sz w:val="23"/>
          <w:szCs w:val="23"/>
        </w:rPr>
        <w:t>Lucas Costa Bicalho</w:t>
      </w:r>
      <w:r w:rsidR="000A7D5C">
        <w:rPr>
          <w:rFonts w:ascii="Arial" w:hAnsi="Arial" w:cs="Arial"/>
          <w:sz w:val="23"/>
          <w:szCs w:val="23"/>
        </w:rPr>
        <w:t xml:space="preserve">, </w:t>
      </w:r>
      <w:r w:rsidR="000A7D5C" w:rsidRPr="000A7D5C">
        <w:rPr>
          <w:rFonts w:ascii="Arial" w:hAnsi="Arial" w:cs="Arial"/>
          <w:sz w:val="23"/>
          <w:szCs w:val="23"/>
        </w:rPr>
        <w:t>Jorge Martins Borges</w:t>
      </w:r>
      <w:r w:rsidR="000A7D5C">
        <w:rPr>
          <w:rFonts w:ascii="Arial" w:hAnsi="Arial" w:cs="Arial"/>
          <w:sz w:val="23"/>
          <w:szCs w:val="23"/>
        </w:rPr>
        <w:t xml:space="preserve">, </w:t>
      </w:r>
      <w:r w:rsidR="000A7D5C" w:rsidRPr="000A7D5C">
        <w:rPr>
          <w:rFonts w:ascii="Arial" w:hAnsi="Arial" w:cs="Arial"/>
          <w:sz w:val="23"/>
          <w:szCs w:val="23"/>
        </w:rPr>
        <w:t>Paulo Henrique Paiva de Almeida</w:t>
      </w:r>
      <w:r w:rsidR="00D94196">
        <w:rPr>
          <w:rFonts w:ascii="Arial" w:hAnsi="Arial" w:cs="Arial"/>
          <w:sz w:val="23"/>
          <w:szCs w:val="23"/>
        </w:rPr>
        <w:t xml:space="preserve">, </w:t>
      </w:r>
      <w:r w:rsidR="00D94196" w:rsidRPr="00D94196">
        <w:rPr>
          <w:rFonts w:ascii="Arial" w:hAnsi="Arial" w:cs="Arial"/>
          <w:sz w:val="23"/>
          <w:szCs w:val="23"/>
        </w:rPr>
        <w:t>Raimundo Papa Junior</w:t>
      </w:r>
      <w:r w:rsidR="00D94196">
        <w:rPr>
          <w:rFonts w:ascii="Arial" w:hAnsi="Arial" w:cs="Arial"/>
          <w:sz w:val="23"/>
          <w:szCs w:val="23"/>
        </w:rPr>
        <w:t xml:space="preserve">, </w:t>
      </w:r>
      <w:r w:rsidR="00D94196" w:rsidRPr="00D94196">
        <w:rPr>
          <w:rFonts w:ascii="Arial" w:hAnsi="Arial" w:cs="Arial"/>
          <w:sz w:val="23"/>
          <w:szCs w:val="23"/>
        </w:rPr>
        <w:t>Hercilia Andréa Sanches Faria</w:t>
      </w:r>
      <w:r w:rsidR="00D94196">
        <w:rPr>
          <w:rFonts w:ascii="Arial" w:hAnsi="Arial" w:cs="Arial"/>
          <w:sz w:val="23"/>
          <w:szCs w:val="23"/>
        </w:rPr>
        <w:t xml:space="preserve">, </w:t>
      </w:r>
      <w:r w:rsidR="00D94196" w:rsidRPr="00D94196">
        <w:rPr>
          <w:rFonts w:ascii="Arial" w:hAnsi="Arial" w:cs="Arial"/>
          <w:sz w:val="23"/>
          <w:szCs w:val="23"/>
        </w:rPr>
        <w:t>Demerson Aparecido Lima Muniz</w:t>
      </w:r>
      <w:r w:rsidR="005124AF">
        <w:rPr>
          <w:rFonts w:ascii="Arial" w:hAnsi="Arial" w:cs="Arial"/>
          <w:sz w:val="23"/>
          <w:szCs w:val="23"/>
        </w:rPr>
        <w:t xml:space="preserve">, </w:t>
      </w:r>
      <w:r w:rsidR="005124AF" w:rsidRPr="005124AF">
        <w:rPr>
          <w:rFonts w:ascii="Arial" w:hAnsi="Arial" w:cs="Arial"/>
          <w:sz w:val="23"/>
          <w:szCs w:val="23"/>
        </w:rPr>
        <w:t>Jamile Araújo Ferrari</w:t>
      </w:r>
      <w:r w:rsidR="005124AF">
        <w:rPr>
          <w:rFonts w:ascii="Arial" w:hAnsi="Arial" w:cs="Arial"/>
          <w:sz w:val="23"/>
          <w:szCs w:val="23"/>
        </w:rPr>
        <w:t xml:space="preserve">, </w:t>
      </w:r>
      <w:r w:rsidR="005124AF" w:rsidRPr="005124AF">
        <w:rPr>
          <w:rFonts w:ascii="Arial" w:hAnsi="Arial" w:cs="Arial"/>
          <w:sz w:val="23"/>
          <w:szCs w:val="23"/>
        </w:rPr>
        <w:t>Giovanna Ribeiro de Araújo</w:t>
      </w:r>
      <w:r w:rsidR="005124AF">
        <w:rPr>
          <w:rFonts w:ascii="Arial" w:hAnsi="Arial" w:cs="Arial"/>
          <w:sz w:val="23"/>
          <w:szCs w:val="23"/>
        </w:rPr>
        <w:t xml:space="preserve">, </w:t>
      </w:r>
      <w:r w:rsidR="005124AF" w:rsidRPr="005124AF">
        <w:rPr>
          <w:rFonts w:ascii="Arial" w:hAnsi="Arial" w:cs="Arial"/>
          <w:sz w:val="23"/>
          <w:szCs w:val="23"/>
        </w:rPr>
        <w:t>Januária da Fonseca Malaquias</w:t>
      </w:r>
      <w:r w:rsidR="00151A27">
        <w:rPr>
          <w:rFonts w:ascii="Arial" w:hAnsi="Arial" w:cs="Arial"/>
          <w:sz w:val="23"/>
          <w:szCs w:val="23"/>
        </w:rPr>
        <w:t xml:space="preserve">, </w:t>
      </w:r>
      <w:r w:rsidR="00151A27" w:rsidRPr="00151A27">
        <w:rPr>
          <w:rFonts w:ascii="Arial" w:hAnsi="Arial" w:cs="Arial"/>
          <w:sz w:val="23"/>
          <w:szCs w:val="23"/>
        </w:rPr>
        <w:t>José Rubenildo dos Santos</w:t>
      </w:r>
      <w:r w:rsidR="00151A27">
        <w:rPr>
          <w:rFonts w:ascii="Arial" w:hAnsi="Arial" w:cs="Arial"/>
          <w:sz w:val="23"/>
          <w:szCs w:val="23"/>
        </w:rPr>
        <w:t xml:space="preserve">, </w:t>
      </w:r>
      <w:r w:rsidR="00151A27" w:rsidRPr="00151A27">
        <w:rPr>
          <w:rFonts w:ascii="Arial" w:hAnsi="Arial" w:cs="Arial"/>
          <w:sz w:val="23"/>
          <w:szCs w:val="23"/>
        </w:rPr>
        <w:t>Marcelo Ferreira de Souza</w:t>
      </w:r>
      <w:r w:rsidR="00151A27">
        <w:rPr>
          <w:rFonts w:ascii="Arial" w:hAnsi="Arial" w:cs="Arial"/>
          <w:sz w:val="23"/>
          <w:szCs w:val="23"/>
        </w:rPr>
        <w:t xml:space="preserve">, </w:t>
      </w:r>
      <w:r w:rsidR="00151A27" w:rsidRPr="00151A27">
        <w:rPr>
          <w:rFonts w:ascii="Arial" w:hAnsi="Arial" w:cs="Arial"/>
          <w:sz w:val="23"/>
          <w:szCs w:val="23"/>
        </w:rPr>
        <w:t xml:space="preserve">Marcelo </w:t>
      </w:r>
      <w:r w:rsidR="00151A27" w:rsidRPr="00151A27">
        <w:rPr>
          <w:rFonts w:ascii="Arial" w:hAnsi="Arial" w:cs="Arial"/>
          <w:sz w:val="23"/>
          <w:szCs w:val="23"/>
        </w:rPr>
        <w:lastRenderedPageBreak/>
        <w:t>Henrique Pessoa Mendes</w:t>
      </w:r>
      <w:r w:rsidR="00950112">
        <w:rPr>
          <w:rFonts w:ascii="Arial" w:hAnsi="Arial" w:cs="Arial"/>
          <w:sz w:val="23"/>
          <w:szCs w:val="23"/>
        </w:rPr>
        <w:t xml:space="preserve">, </w:t>
      </w:r>
      <w:r w:rsidR="00950112" w:rsidRPr="00950112">
        <w:rPr>
          <w:rFonts w:ascii="Arial" w:hAnsi="Arial" w:cs="Arial"/>
          <w:sz w:val="23"/>
          <w:szCs w:val="23"/>
        </w:rPr>
        <w:t>José Augusto Costa Gonçalves</w:t>
      </w:r>
      <w:r w:rsidR="00950112">
        <w:rPr>
          <w:rFonts w:ascii="Arial" w:hAnsi="Arial" w:cs="Arial"/>
          <w:sz w:val="23"/>
          <w:szCs w:val="23"/>
        </w:rPr>
        <w:t xml:space="preserve">, </w:t>
      </w:r>
      <w:r w:rsidR="00950112" w:rsidRPr="00950112">
        <w:rPr>
          <w:rFonts w:ascii="Arial" w:hAnsi="Arial" w:cs="Arial"/>
          <w:sz w:val="23"/>
          <w:szCs w:val="23"/>
        </w:rPr>
        <w:t>Glaucio Marcelino Marques</w:t>
      </w:r>
      <w:r w:rsidR="00950112">
        <w:rPr>
          <w:rFonts w:ascii="Arial" w:hAnsi="Arial" w:cs="Arial"/>
          <w:sz w:val="23"/>
          <w:szCs w:val="23"/>
        </w:rPr>
        <w:t xml:space="preserve">, </w:t>
      </w:r>
      <w:r w:rsidR="00950112" w:rsidRPr="00950112">
        <w:rPr>
          <w:rFonts w:ascii="Arial" w:hAnsi="Arial" w:cs="Arial"/>
          <w:sz w:val="23"/>
          <w:szCs w:val="23"/>
        </w:rPr>
        <w:t>Rodrigo Borges de Barros</w:t>
      </w:r>
      <w:r w:rsidR="005A37F9">
        <w:rPr>
          <w:rFonts w:ascii="Arial" w:hAnsi="Arial" w:cs="Arial"/>
          <w:sz w:val="23"/>
          <w:szCs w:val="23"/>
        </w:rPr>
        <w:t>,</w:t>
      </w:r>
      <w:r w:rsidR="005A37F9" w:rsidRPr="005A37F9">
        <w:t xml:space="preserve"> </w:t>
      </w:r>
      <w:r w:rsidR="005A37F9" w:rsidRPr="005A37F9">
        <w:rPr>
          <w:rFonts w:ascii="Arial" w:hAnsi="Arial" w:cs="Arial"/>
          <w:sz w:val="23"/>
          <w:szCs w:val="23"/>
        </w:rPr>
        <w:t>Deusdeth de Souza Amorim Júnior</w:t>
      </w:r>
      <w:r w:rsidR="005A37F9">
        <w:rPr>
          <w:rFonts w:ascii="Arial" w:hAnsi="Arial" w:cs="Arial"/>
          <w:sz w:val="23"/>
          <w:szCs w:val="23"/>
        </w:rPr>
        <w:t xml:space="preserve">, </w:t>
      </w:r>
      <w:r w:rsidR="00EA23DC" w:rsidRPr="00EA23DC">
        <w:rPr>
          <w:rFonts w:ascii="Arial" w:hAnsi="Arial" w:cs="Arial"/>
          <w:sz w:val="23"/>
          <w:szCs w:val="23"/>
        </w:rPr>
        <w:t>Lucimere da Silva Leão</w:t>
      </w:r>
      <w:r w:rsidR="000029B9">
        <w:rPr>
          <w:rFonts w:ascii="Arial" w:hAnsi="Arial" w:cs="Arial"/>
          <w:sz w:val="23"/>
          <w:szCs w:val="23"/>
        </w:rPr>
        <w:t xml:space="preserve">, </w:t>
      </w:r>
      <w:r w:rsidR="000029B9" w:rsidRPr="000029B9">
        <w:rPr>
          <w:rFonts w:ascii="Arial" w:hAnsi="Arial" w:cs="Arial"/>
          <w:sz w:val="23"/>
          <w:szCs w:val="23"/>
        </w:rPr>
        <w:t>José Angelo Paganini</w:t>
      </w:r>
      <w:r w:rsidR="000029B9">
        <w:rPr>
          <w:rFonts w:ascii="Arial" w:hAnsi="Arial" w:cs="Arial"/>
          <w:sz w:val="23"/>
          <w:szCs w:val="23"/>
        </w:rPr>
        <w:t xml:space="preserve">, </w:t>
      </w:r>
      <w:r w:rsidR="000029B9" w:rsidRPr="000029B9">
        <w:rPr>
          <w:rFonts w:ascii="Arial" w:hAnsi="Arial" w:cs="Arial"/>
          <w:sz w:val="23"/>
          <w:szCs w:val="23"/>
        </w:rPr>
        <w:t>Paulo Gomes Ferreira</w:t>
      </w:r>
      <w:r w:rsidR="000029B9">
        <w:rPr>
          <w:rFonts w:ascii="Arial" w:hAnsi="Arial" w:cs="Arial"/>
          <w:sz w:val="23"/>
          <w:szCs w:val="23"/>
        </w:rPr>
        <w:t>.</w:t>
      </w:r>
    </w:p>
    <w:p w14:paraId="4267EF58" w14:textId="77777777" w:rsidR="008A6908" w:rsidRDefault="008A6908" w:rsidP="00760521">
      <w:pPr>
        <w:spacing w:line="360" w:lineRule="auto"/>
        <w:jc w:val="both"/>
        <w:rPr>
          <w:rFonts w:ascii="Arial" w:hAnsi="Arial" w:cs="Arial"/>
          <w:sz w:val="23"/>
          <w:szCs w:val="23"/>
        </w:rPr>
      </w:pPr>
    </w:p>
    <w:p w14:paraId="022FB56D" w14:textId="02562969" w:rsidR="008A6908" w:rsidRDefault="001E22E3" w:rsidP="000A6B73">
      <w:pPr>
        <w:spacing w:after="480" w:line="360" w:lineRule="auto"/>
        <w:jc w:val="both"/>
        <w:rPr>
          <w:rFonts w:ascii="Arial" w:hAnsi="Arial" w:cs="Arial"/>
          <w:sz w:val="23"/>
          <w:szCs w:val="23"/>
        </w:rPr>
      </w:pPr>
      <w:r w:rsidRPr="001E22E3">
        <w:rPr>
          <w:rFonts w:ascii="Arial" w:hAnsi="Arial" w:cs="Arial"/>
          <w:b/>
          <w:bCs/>
          <w:sz w:val="23"/>
          <w:szCs w:val="23"/>
        </w:rPr>
        <w:t>ENCAMINHAMENTOS:</w:t>
      </w:r>
      <w:r>
        <w:rPr>
          <w:rFonts w:ascii="Arial" w:hAnsi="Arial" w:cs="Arial"/>
          <w:sz w:val="23"/>
          <w:szCs w:val="23"/>
        </w:rPr>
        <w:t xml:space="preserve"> Não foram gerados encaminhamentos </w:t>
      </w:r>
    </w:p>
    <w:p w14:paraId="45237B56" w14:textId="77777777" w:rsidR="001E22E3" w:rsidRPr="00ED6C8A" w:rsidRDefault="001E22E3" w:rsidP="00760521">
      <w:pPr>
        <w:spacing w:line="360" w:lineRule="auto"/>
        <w:jc w:val="both"/>
        <w:rPr>
          <w:rFonts w:ascii="Arial" w:hAnsi="Arial" w:cs="Arial"/>
          <w:sz w:val="4"/>
          <w:szCs w:val="4"/>
        </w:rPr>
      </w:pPr>
    </w:p>
    <w:p w14:paraId="34FC7226" w14:textId="77777777" w:rsidR="008A6908" w:rsidRPr="00582767" w:rsidRDefault="008A6908" w:rsidP="008A6908">
      <w:pPr>
        <w:spacing w:line="360" w:lineRule="auto"/>
        <w:jc w:val="center"/>
        <w:rPr>
          <w:rFonts w:ascii="Arial" w:hAnsi="Arial" w:cs="Arial"/>
          <w:sz w:val="23"/>
          <w:szCs w:val="23"/>
        </w:rPr>
      </w:pPr>
      <w:r w:rsidRPr="00582767">
        <w:rPr>
          <w:rFonts w:ascii="Arial" w:hAnsi="Arial" w:cs="Arial"/>
          <w:sz w:val="23"/>
          <w:szCs w:val="23"/>
        </w:rPr>
        <w:t xml:space="preserve">(assinado eletronicamente) </w:t>
      </w:r>
    </w:p>
    <w:p w14:paraId="53B3EB14" w14:textId="77777777" w:rsidR="008A6908" w:rsidRPr="00582767" w:rsidRDefault="008A6908" w:rsidP="008A6908">
      <w:pPr>
        <w:spacing w:line="360" w:lineRule="auto"/>
        <w:jc w:val="center"/>
        <w:rPr>
          <w:rFonts w:ascii="Arial" w:hAnsi="Arial" w:cs="Arial"/>
          <w:b/>
          <w:bCs/>
          <w:sz w:val="23"/>
          <w:szCs w:val="23"/>
        </w:rPr>
      </w:pPr>
      <w:r w:rsidRPr="00582767">
        <w:rPr>
          <w:rFonts w:ascii="Arial" w:hAnsi="Arial" w:cs="Arial"/>
          <w:b/>
          <w:bCs/>
          <w:sz w:val="23"/>
          <w:szCs w:val="23"/>
        </w:rPr>
        <w:t xml:space="preserve">JORGE MARTINS BORGES </w:t>
      </w:r>
    </w:p>
    <w:p w14:paraId="384E3ED9" w14:textId="77777777" w:rsidR="008A6908" w:rsidRDefault="008A6908" w:rsidP="008A6908">
      <w:pPr>
        <w:spacing w:line="360" w:lineRule="auto"/>
        <w:jc w:val="center"/>
        <w:rPr>
          <w:rFonts w:ascii="Arial" w:hAnsi="Arial" w:cs="Arial"/>
          <w:sz w:val="23"/>
          <w:szCs w:val="23"/>
        </w:rPr>
      </w:pPr>
      <w:r w:rsidRPr="00582767">
        <w:rPr>
          <w:rFonts w:ascii="Arial" w:hAnsi="Arial" w:cs="Arial"/>
          <w:sz w:val="23"/>
          <w:szCs w:val="23"/>
        </w:rPr>
        <w:t>PRESIDENTE DO CBH-PIRACICABA</w:t>
      </w:r>
    </w:p>
    <w:p w14:paraId="2CCDE9D8" w14:textId="3285C8FF" w:rsidR="008A6908" w:rsidRPr="001C4EE4" w:rsidRDefault="008A6908" w:rsidP="008A6908">
      <w:pPr>
        <w:spacing w:line="360" w:lineRule="auto"/>
        <w:jc w:val="center"/>
        <w:rPr>
          <w:rFonts w:ascii="Arial" w:hAnsi="Arial" w:cs="Arial"/>
          <w:b/>
          <w:bCs/>
          <w:sz w:val="20"/>
          <w:szCs w:val="20"/>
        </w:rPr>
      </w:pPr>
    </w:p>
    <w:sectPr w:rsidR="008A6908" w:rsidRPr="001C4EE4" w:rsidSect="00D114D1">
      <w:headerReference w:type="even" r:id="rId10"/>
      <w:headerReference w:type="default" r:id="rId11"/>
      <w:footerReference w:type="default" r:id="rId12"/>
      <w:headerReference w:type="first" r:id="rId13"/>
      <w:pgSz w:w="11910" w:h="16840"/>
      <w:pgMar w:top="2000" w:right="1417" w:bottom="709" w:left="1560" w:header="735" w:footer="0"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378FB" w14:textId="77777777" w:rsidR="0072551E" w:rsidRDefault="0072551E">
      <w:r>
        <w:separator/>
      </w:r>
    </w:p>
  </w:endnote>
  <w:endnote w:type="continuationSeparator" w:id="0">
    <w:p w14:paraId="6EBC0992" w14:textId="77777777" w:rsidR="0072551E" w:rsidRDefault="00725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6242" w14:textId="77777777" w:rsidR="001C4EE4" w:rsidRPr="00BB43A0" w:rsidRDefault="001C4EE4" w:rsidP="001C4EE4">
    <w:pPr>
      <w:spacing w:line="360" w:lineRule="auto"/>
      <w:jc w:val="center"/>
      <w:rPr>
        <w:rFonts w:ascii="Arial" w:hAnsi="Arial" w:cs="Arial"/>
        <w:i/>
        <w:iCs/>
        <w:sz w:val="20"/>
        <w:szCs w:val="20"/>
      </w:rPr>
    </w:pPr>
    <w:r w:rsidRPr="00BB43A0">
      <w:rPr>
        <w:rFonts w:ascii="Arial" w:hAnsi="Arial" w:cs="Arial"/>
        <w:b/>
        <w:i/>
        <w:iCs/>
        <w:sz w:val="20"/>
        <w:szCs w:val="20"/>
      </w:rPr>
      <w:t>PAUTA</w:t>
    </w:r>
    <w:r w:rsidRPr="00BB43A0">
      <w:rPr>
        <w:rFonts w:ascii="Arial" w:hAnsi="Arial" w:cs="Arial"/>
        <w:bCs/>
        <w:i/>
        <w:iCs/>
        <w:sz w:val="20"/>
        <w:szCs w:val="20"/>
      </w:rPr>
      <w:t>: 1. Abertura e verificação de quórum; 2. Aprovação da ata da 44ª Reunião Extraordinária, realizada no dia 07/11/2024; 3. Deliberação dos Processos de Outorga nº 60.701/2022 e 60.703/2022 – [ARCELOR MITTAL] 4. Assuntos Gerais; 5. Encerramento.</w:t>
    </w:r>
  </w:p>
  <w:p w14:paraId="626F85E0" w14:textId="77777777" w:rsidR="001C4EE4" w:rsidRDefault="001C4EE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646E6" w14:textId="77777777" w:rsidR="0072551E" w:rsidRDefault="0072551E">
      <w:r>
        <w:separator/>
      </w:r>
    </w:p>
  </w:footnote>
  <w:footnote w:type="continuationSeparator" w:id="0">
    <w:p w14:paraId="5BFF2385" w14:textId="77777777" w:rsidR="0072551E" w:rsidRDefault="00725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72DA" w14:textId="386B536D" w:rsidR="00E96FB6" w:rsidRDefault="005D50C8">
    <w:pPr>
      <w:pStyle w:val="Cabealho"/>
    </w:pPr>
    <w:r>
      <w:rPr>
        <w:noProof/>
      </w:rPr>
      <w:pict w14:anchorId="3CBCF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43094" o:spid="_x0000_s2050" type="#_x0000_t136" style="position:absolute;margin-left:0;margin-top:0;width:489.8pt;height:139.95pt;rotation:315;z-index:-251655168;mso-position-horizontal:center;mso-position-horizontal-relative:margin;mso-position-vertical:center;mso-position-vertical-relative:margin" o:allowincell="f" fillcolor="silver" stroked="f">
          <v:fill opacity=".5"/>
          <v:textpath style="font-family:&quot;Arial MT&quot;;font-size:1pt" string="MINU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8DC9" w14:textId="474456B9" w:rsidR="00D761E3" w:rsidRPr="00C76660" w:rsidRDefault="005D50C8" w:rsidP="00C76660">
    <w:pPr>
      <w:pStyle w:val="Cabealho"/>
      <w:jc w:val="center"/>
    </w:pPr>
    <w:r>
      <w:rPr>
        <w:noProof/>
      </w:rPr>
      <w:pict w14:anchorId="0DA67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43095" o:spid="_x0000_s2051" type="#_x0000_t136" style="position:absolute;left:0;text-align:left;margin-left:0;margin-top:0;width:489.8pt;height:139.95pt;rotation:315;z-index:-251653120;mso-position-horizontal:center;mso-position-horizontal-relative:margin;mso-position-vertical:center;mso-position-vertical-relative:margin" o:allowincell="f" fillcolor="silver" stroked="f">
          <v:fill opacity=".5"/>
          <v:textpath style="font-family:&quot;Arial MT&quot;;font-size:1pt" string="MINUTA"/>
          <w10:wrap anchorx="margin" anchory="margin"/>
        </v:shape>
      </w:pict>
    </w:r>
    <w:r w:rsidR="00C76660" w:rsidRPr="00C76660">
      <w:rPr>
        <w:noProof/>
        <w:sz w:val="20"/>
        <w:szCs w:val="23"/>
      </w:rPr>
      <w:drawing>
        <wp:inline distT="0" distB="0" distL="0" distR="0" wp14:anchorId="3A02E1A4" wp14:editId="5F0F79DE">
          <wp:extent cx="872440" cy="872440"/>
          <wp:effectExtent l="0" t="0" r="4445" b="0"/>
          <wp:docPr id="793766988" name="Imagem 2" descr="Logotipo&#10;&#10;Descrição gerada automaticamente, 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tipo&#10;&#10;Descrição gerada automaticamente, Imag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861" cy="880861"/>
                  </a:xfrm>
                  <a:prstGeom prst="rect">
                    <a:avLst/>
                  </a:prstGeom>
                  <a:noFill/>
                  <a:ln>
                    <a:noFill/>
                  </a:ln>
                </pic:spPr>
              </pic:pic>
            </a:graphicData>
          </a:graphic>
        </wp:inline>
      </w:drawing>
    </w:r>
    <w:r w:rsidR="00C76660" w:rsidRPr="00C76660">
      <w:rPr>
        <w:sz w:val="20"/>
        <w:szCs w:val="23"/>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DF63" w14:textId="44354814" w:rsidR="00E96FB6" w:rsidRDefault="005D50C8">
    <w:pPr>
      <w:pStyle w:val="Cabealho"/>
    </w:pPr>
    <w:r>
      <w:rPr>
        <w:noProof/>
      </w:rPr>
      <w:pict w14:anchorId="07257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43093" o:spid="_x0000_s2049" type="#_x0000_t136" style="position:absolute;margin-left:0;margin-top:0;width:489.8pt;height:139.95pt;rotation:315;z-index:-251657216;mso-position-horizontal:center;mso-position-horizontal-relative:margin;mso-position-vertical:center;mso-position-vertical-relative:margin" o:allowincell="f" fillcolor="silver" stroked="f">
          <v:fill opacity=".5"/>
          <v:textpath style="font-family:&quot;Arial MT&quot;;font-size:1pt" string="MINU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C7E17"/>
    <w:multiLevelType w:val="hybridMultilevel"/>
    <w:tmpl w:val="01B8414A"/>
    <w:lvl w:ilvl="0" w:tplc="455E893E">
      <w:start w:val="1"/>
      <w:numFmt w:val="decimal"/>
      <w:lvlText w:val="%1"/>
      <w:lvlJc w:val="left"/>
      <w:pPr>
        <w:ind w:left="1196" w:hanging="810"/>
        <w:jc w:val="right"/>
      </w:pPr>
      <w:rPr>
        <w:rFonts w:hint="default"/>
        <w:spacing w:val="0"/>
        <w:w w:val="101"/>
        <w:lang w:val="pt-PT" w:eastAsia="en-US" w:bidi="ar-SA"/>
      </w:rPr>
    </w:lvl>
    <w:lvl w:ilvl="1" w:tplc="AB569CA8">
      <w:numFmt w:val="bullet"/>
      <w:lvlText w:val="•"/>
      <w:lvlJc w:val="left"/>
      <w:pPr>
        <w:ind w:left="2072" w:hanging="810"/>
      </w:pPr>
      <w:rPr>
        <w:rFonts w:hint="default"/>
        <w:lang w:val="pt-PT" w:eastAsia="en-US" w:bidi="ar-SA"/>
      </w:rPr>
    </w:lvl>
    <w:lvl w:ilvl="2" w:tplc="607E3B36">
      <w:numFmt w:val="bullet"/>
      <w:lvlText w:val="•"/>
      <w:lvlJc w:val="left"/>
      <w:pPr>
        <w:ind w:left="2944" w:hanging="810"/>
      </w:pPr>
      <w:rPr>
        <w:rFonts w:hint="default"/>
        <w:lang w:val="pt-PT" w:eastAsia="en-US" w:bidi="ar-SA"/>
      </w:rPr>
    </w:lvl>
    <w:lvl w:ilvl="3" w:tplc="E96C9A72">
      <w:numFmt w:val="bullet"/>
      <w:lvlText w:val="•"/>
      <w:lvlJc w:val="left"/>
      <w:pPr>
        <w:ind w:left="3817" w:hanging="810"/>
      </w:pPr>
      <w:rPr>
        <w:rFonts w:hint="default"/>
        <w:lang w:val="pt-PT" w:eastAsia="en-US" w:bidi="ar-SA"/>
      </w:rPr>
    </w:lvl>
    <w:lvl w:ilvl="4" w:tplc="88602E90">
      <w:numFmt w:val="bullet"/>
      <w:lvlText w:val="•"/>
      <w:lvlJc w:val="left"/>
      <w:pPr>
        <w:ind w:left="4689" w:hanging="810"/>
      </w:pPr>
      <w:rPr>
        <w:rFonts w:hint="default"/>
        <w:lang w:val="pt-PT" w:eastAsia="en-US" w:bidi="ar-SA"/>
      </w:rPr>
    </w:lvl>
    <w:lvl w:ilvl="5" w:tplc="AE7442CE">
      <w:numFmt w:val="bullet"/>
      <w:lvlText w:val="•"/>
      <w:lvlJc w:val="left"/>
      <w:pPr>
        <w:ind w:left="5561" w:hanging="810"/>
      </w:pPr>
      <w:rPr>
        <w:rFonts w:hint="default"/>
        <w:lang w:val="pt-PT" w:eastAsia="en-US" w:bidi="ar-SA"/>
      </w:rPr>
    </w:lvl>
    <w:lvl w:ilvl="6" w:tplc="57D62F64">
      <w:numFmt w:val="bullet"/>
      <w:lvlText w:val="•"/>
      <w:lvlJc w:val="left"/>
      <w:pPr>
        <w:ind w:left="6434" w:hanging="810"/>
      </w:pPr>
      <w:rPr>
        <w:rFonts w:hint="default"/>
        <w:lang w:val="pt-PT" w:eastAsia="en-US" w:bidi="ar-SA"/>
      </w:rPr>
    </w:lvl>
    <w:lvl w:ilvl="7" w:tplc="75A6D8B0">
      <w:numFmt w:val="bullet"/>
      <w:lvlText w:val="•"/>
      <w:lvlJc w:val="left"/>
      <w:pPr>
        <w:ind w:left="7306" w:hanging="810"/>
      </w:pPr>
      <w:rPr>
        <w:rFonts w:hint="default"/>
        <w:lang w:val="pt-PT" w:eastAsia="en-US" w:bidi="ar-SA"/>
      </w:rPr>
    </w:lvl>
    <w:lvl w:ilvl="8" w:tplc="5EAEA960">
      <w:numFmt w:val="bullet"/>
      <w:lvlText w:val="•"/>
      <w:lvlJc w:val="left"/>
      <w:pPr>
        <w:ind w:left="8178" w:hanging="810"/>
      </w:pPr>
      <w:rPr>
        <w:rFonts w:hint="default"/>
        <w:lang w:val="pt-PT" w:eastAsia="en-US" w:bidi="ar-SA"/>
      </w:rPr>
    </w:lvl>
  </w:abstractNum>
  <w:num w:numId="1" w16cid:durableId="1449004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E3"/>
    <w:rsid w:val="000006C4"/>
    <w:rsid w:val="00002127"/>
    <w:rsid w:val="000029B9"/>
    <w:rsid w:val="00005085"/>
    <w:rsid w:val="000244E0"/>
    <w:rsid w:val="00037502"/>
    <w:rsid w:val="00040BE9"/>
    <w:rsid w:val="00046830"/>
    <w:rsid w:val="000529D5"/>
    <w:rsid w:val="000648B3"/>
    <w:rsid w:val="000700C0"/>
    <w:rsid w:val="000817E6"/>
    <w:rsid w:val="000877E2"/>
    <w:rsid w:val="00091B67"/>
    <w:rsid w:val="0009315D"/>
    <w:rsid w:val="000A2219"/>
    <w:rsid w:val="000A6B73"/>
    <w:rsid w:val="000A7D5C"/>
    <w:rsid w:val="000B0716"/>
    <w:rsid w:val="000B5969"/>
    <w:rsid w:val="000D1188"/>
    <w:rsid w:val="000D156D"/>
    <w:rsid w:val="000E0E92"/>
    <w:rsid w:val="000F2321"/>
    <w:rsid w:val="000F244C"/>
    <w:rsid w:val="000F6058"/>
    <w:rsid w:val="0010064A"/>
    <w:rsid w:val="00103C41"/>
    <w:rsid w:val="00111FB9"/>
    <w:rsid w:val="00146780"/>
    <w:rsid w:val="00151A27"/>
    <w:rsid w:val="00163398"/>
    <w:rsid w:val="001643AF"/>
    <w:rsid w:val="00185759"/>
    <w:rsid w:val="00187476"/>
    <w:rsid w:val="001A7EED"/>
    <w:rsid w:val="001B7685"/>
    <w:rsid w:val="001C4EE4"/>
    <w:rsid w:val="001C5CD0"/>
    <w:rsid w:val="001C7A48"/>
    <w:rsid w:val="001D513B"/>
    <w:rsid w:val="001E22E3"/>
    <w:rsid w:val="00205420"/>
    <w:rsid w:val="002058B4"/>
    <w:rsid w:val="00217F06"/>
    <w:rsid w:val="00234CCB"/>
    <w:rsid w:val="002464DF"/>
    <w:rsid w:val="00246A36"/>
    <w:rsid w:val="002562E5"/>
    <w:rsid w:val="002617B6"/>
    <w:rsid w:val="00282442"/>
    <w:rsid w:val="00291DF5"/>
    <w:rsid w:val="00296168"/>
    <w:rsid w:val="002A77E7"/>
    <w:rsid w:val="002B5076"/>
    <w:rsid w:val="002B50AB"/>
    <w:rsid w:val="002D40D6"/>
    <w:rsid w:val="002D61D7"/>
    <w:rsid w:val="002E27E3"/>
    <w:rsid w:val="00302657"/>
    <w:rsid w:val="00313818"/>
    <w:rsid w:val="00316A27"/>
    <w:rsid w:val="0031764C"/>
    <w:rsid w:val="00326C16"/>
    <w:rsid w:val="0036113B"/>
    <w:rsid w:val="00362707"/>
    <w:rsid w:val="003633BC"/>
    <w:rsid w:val="0036572F"/>
    <w:rsid w:val="00384E59"/>
    <w:rsid w:val="003B3EF6"/>
    <w:rsid w:val="003D0D0A"/>
    <w:rsid w:val="003D1FCD"/>
    <w:rsid w:val="003E2CAA"/>
    <w:rsid w:val="003E3F71"/>
    <w:rsid w:val="003F365A"/>
    <w:rsid w:val="003F7757"/>
    <w:rsid w:val="0043141F"/>
    <w:rsid w:val="004341F7"/>
    <w:rsid w:val="0044031D"/>
    <w:rsid w:val="004479F1"/>
    <w:rsid w:val="00450B2E"/>
    <w:rsid w:val="00462C8C"/>
    <w:rsid w:val="004701C9"/>
    <w:rsid w:val="004818D6"/>
    <w:rsid w:val="00481D73"/>
    <w:rsid w:val="0048498E"/>
    <w:rsid w:val="00487DAB"/>
    <w:rsid w:val="00490979"/>
    <w:rsid w:val="00492A11"/>
    <w:rsid w:val="004A3BF5"/>
    <w:rsid w:val="004C1C46"/>
    <w:rsid w:val="004D74AF"/>
    <w:rsid w:val="005005F8"/>
    <w:rsid w:val="00502E0B"/>
    <w:rsid w:val="005124AF"/>
    <w:rsid w:val="00513391"/>
    <w:rsid w:val="00515FB7"/>
    <w:rsid w:val="00525CC6"/>
    <w:rsid w:val="0053015E"/>
    <w:rsid w:val="00551339"/>
    <w:rsid w:val="00556AA5"/>
    <w:rsid w:val="00583801"/>
    <w:rsid w:val="00584C32"/>
    <w:rsid w:val="005905A6"/>
    <w:rsid w:val="005A37F9"/>
    <w:rsid w:val="005B0FA9"/>
    <w:rsid w:val="005D18F4"/>
    <w:rsid w:val="005D3CC5"/>
    <w:rsid w:val="005D50C8"/>
    <w:rsid w:val="005F4C6C"/>
    <w:rsid w:val="00601A57"/>
    <w:rsid w:val="00612621"/>
    <w:rsid w:val="0062328C"/>
    <w:rsid w:val="006268C4"/>
    <w:rsid w:val="00626955"/>
    <w:rsid w:val="00630D28"/>
    <w:rsid w:val="00632EB0"/>
    <w:rsid w:val="00641E87"/>
    <w:rsid w:val="006A2C04"/>
    <w:rsid w:val="006A50A4"/>
    <w:rsid w:val="006B508E"/>
    <w:rsid w:val="006C0287"/>
    <w:rsid w:val="006D51D5"/>
    <w:rsid w:val="006D59A4"/>
    <w:rsid w:val="006E0388"/>
    <w:rsid w:val="006E3B39"/>
    <w:rsid w:val="006E7386"/>
    <w:rsid w:val="00713A6E"/>
    <w:rsid w:val="00720B21"/>
    <w:rsid w:val="0072551E"/>
    <w:rsid w:val="007275A7"/>
    <w:rsid w:val="00731BF1"/>
    <w:rsid w:val="00733355"/>
    <w:rsid w:val="00733397"/>
    <w:rsid w:val="007353A8"/>
    <w:rsid w:val="007379C0"/>
    <w:rsid w:val="00750137"/>
    <w:rsid w:val="00760521"/>
    <w:rsid w:val="00784878"/>
    <w:rsid w:val="007878DA"/>
    <w:rsid w:val="007B2ED9"/>
    <w:rsid w:val="007B2F24"/>
    <w:rsid w:val="007B7863"/>
    <w:rsid w:val="007D08C4"/>
    <w:rsid w:val="007D5DBD"/>
    <w:rsid w:val="007E387F"/>
    <w:rsid w:val="007E5BB6"/>
    <w:rsid w:val="007F42E2"/>
    <w:rsid w:val="00807C7F"/>
    <w:rsid w:val="00831C80"/>
    <w:rsid w:val="008353A5"/>
    <w:rsid w:val="008441D6"/>
    <w:rsid w:val="00861794"/>
    <w:rsid w:val="008636C9"/>
    <w:rsid w:val="0087785E"/>
    <w:rsid w:val="00895567"/>
    <w:rsid w:val="008964B4"/>
    <w:rsid w:val="008A6908"/>
    <w:rsid w:val="008A7A4C"/>
    <w:rsid w:val="008B0984"/>
    <w:rsid w:val="008B16E0"/>
    <w:rsid w:val="008B2361"/>
    <w:rsid w:val="008F1A7D"/>
    <w:rsid w:val="00935F99"/>
    <w:rsid w:val="0094129B"/>
    <w:rsid w:val="00950112"/>
    <w:rsid w:val="00965C22"/>
    <w:rsid w:val="00980A75"/>
    <w:rsid w:val="009A4DBD"/>
    <w:rsid w:val="009B15EC"/>
    <w:rsid w:val="009D343C"/>
    <w:rsid w:val="009F7406"/>
    <w:rsid w:val="00A02F8E"/>
    <w:rsid w:val="00A205DE"/>
    <w:rsid w:val="00A374D4"/>
    <w:rsid w:val="00A463C1"/>
    <w:rsid w:val="00A536C3"/>
    <w:rsid w:val="00A53A98"/>
    <w:rsid w:val="00A6045A"/>
    <w:rsid w:val="00A64517"/>
    <w:rsid w:val="00A90670"/>
    <w:rsid w:val="00AB365D"/>
    <w:rsid w:val="00AD04C7"/>
    <w:rsid w:val="00AE3F78"/>
    <w:rsid w:val="00AF450F"/>
    <w:rsid w:val="00B00DB9"/>
    <w:rsid w:val="00B01A95"/>
    <w:rsid w:val="00B052B4"/>
    <w:rsid w:val="00B12EDC"/>
    <w:rsid w:val="00B25241"/>
    <w:rsid w:val="00B309D4"/>
    <w:rsid w:val="00B57782"/>
    <w:rsid w:val="00B7745F"/>
    <w:rsid w:val="00B86063"/>
    <w:rsid w:val="00B9212F"/>
    <w:rsid w:val="00B96CEF"/>
    <w:rsid w:val="00BA24DB"/>
    <w:rsid w:val="00BA788A"/>
    <w:rsid w:val="00BB43A0"/>
    <w:rsid w:val="00BC0121"/>
    <w:rsid w:val="00BC341F"/>
    <w:rsid w:val="00BD3FB6"/>
    <w:rsid w:val="00BE3065"/>
    <w:rsid w:val="00BE5F64"/>
    <w:rsid w:val="00BF098A"/>
    <w:rsid w:val="00C2027E"/>
    <w:rsid w:val="00C32E1B"/>
    <w:rsid w:val="00C40103"/>
    <w:rsid w:val="00C41344"/>
    <w:rsid w:val="00C475B4"/>
    <w:rsid w:val="00C5269A"/>
    <w:rsid w:val="00C73220"/>
    <w:rsid w:val="00C76660"/>
    <w:rsid w:val="00C838D5"/>
    <w:rsid w:val="00C84858"/>
    <w:rsid w:val="00C84FD7"/>
    <w:rsid w:val="00CA22DF"/>
    <w:rsid w:val="00CB00F8"/>
    <w:rsid w:val="00CB7732"/>
    <w:rsid w:val="00CD6352"/>
    <w:rsid w:val="00CE33A9"/>
    <w:rsid w:val="00CE3443"/>
    <w:rsid w:val="00CE76B8"/>
    <w:rsid w:val="00CF5DCA"/>
    <w:rsid w:val="00CF6D53"/>
    <w:rsid w:val="00D0292C"/>
    <w:rsid w:val="00D0535E"/>
    <w:rsid w:val="00D114D1"/>
    <w:rsid w:val="00D275B1"/>
    <w:rsid w:val="00D436AF"/>
    <w:rsid w:val="00D4762C"/>
    <w:rsid w:val="00D56E27"/>
    <w:rsid w:val="00D761E3"/>
    <w:rsid w:val="00D94196"/>
    <w:rsid w:val="00DA2027"/>
    <w:rsid w:val="00DA72D8"/>
    <w:rsid w:val="00DB1743"/>
    <w:rsid w:val="00DB1F2A"/>
    <w:rsid w:val="00DD3AA6"/>
    <w:rsid w:val="00DE4564"/>
    <w:rsid w:val="00E04B39"/>
    <w:rsid w:val="00E063EA"/>
    <w:rsid w:val="00E169DA"/>
    <w:rsid w:val="00E17D18"/>
    <w:rsid w:val="00E31B88"/>
    <w:rsid w:val="00E3605F"/>
    <w:rsid w:val="00E36A6A"/>
    <w:rsid w:val="00E40AAE"/>
    <w:rsid w:val="00E4394C"/>
    <w:rsid w:val="00E5235B"/>
    <w:rsid w:val="00E829D2"/>
    <w:rsid w:val="00E87A49"/>
    <w:rsid w:val="00E93396"/>
    <w:rsid w:val="00E96FB6"/>
    <w:rsid w:val="00E971AB"/>
    <w:rsid w:val="00EA23DC"/>
    <w:rsid w:val="00EC1AC1"/>
    <w:rsid w:val="00ED3154"/>
    <w:rsid w:val="00ED6C8A"/>
    <w:rsid w:val="00ED7A41"/>
    <w:rsid w:val="00EE12B5"/>
    <w:rsid w:val="00F05955"/>
    <w:rsid w:val="00F13C6A"/>
    <w:rsid w:val="00F22073"/>
    <w:rsid w:val="00F2208D"/>
    <w:rsid w:val="00F30C73"/>
    <w:rsid w:val="00F3247C"/>
    <w:rsid w:val="00F47A57"/>
    <w:rsid w:val="00F551B1"/>
    <w:rsid w:val="00F76EB7"/>
    <w:rsid w:val="00F86C05"/>
    <w:rsid w:val="00F95F61"/>
    <w:rsid w:val="00FA034A"/>
    <w:rsid w:val="00FD343B"/>
    <w:rsid w:val="00FE2613"/>
    <w:rsid w:val="00FE26BA"/>
    <w:rsid w:val="00FE2B44"/>
    <w:rsid w:val="00FF262D"/>
    <w:rsid w:val="00FF57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488CC3"/>
  <w15:docId w15:val="{69A9B831-C0C3-4970-81B6-6C5E6B38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17"/>
      <w:ind w:left="874" w:hanging="742"/>
    </w:pPr>
    <w:rPr>
      <w:sz w:val="23"/>
      <w:szCs w:val="23"/>
    </w:rPr>
  </w:style>
  <w:style w:type="paragraph" w:styleId="Ttulo">
    <w:name w:val="Title"/>
    <w:basedOn w:val="Normal"/>
    <w:uiPriority w:val="10"/>
    <w:qFormat/>
    <w:pPr>
      <w:spacing w:before="117"/>
      <w:ind w:left="1073" w:hanging="809"/>
    </w:pPr>
    <w:rPr>
      <w:rFonts w:ascii="Arial" w:eastAsia="Arial" w:hAnsi="Arial" w:cs="Arial"/>
      <w:b/>
      <w:bCs/>
      <w:sz w:val="23"/>
      <w:szCs w:val="23"/>
      <w:u w:val="single" w:color="000000"/>
    </w:rPr>
  </w:style>
  <w:style w:type="paragraph" w:styleId="PargrafodaLista">
    <w:name w:val="List Paragraph"/>
    <w:basedOn w:val="Normal"/>
    <w:uiPriority w:val="1"/>
    <w:qFormat/>
    <w:pPr>
      <w:spacing w:before="117"/>
      <w:ind w:left="874" w:hanging="742"/>
    </w:pPr>
  </w:style>
  <w:style w:type="paragraph" w:customStyle="1" w:styleId="TableParagraph">
    <w:name w:val="Table Paragraph"/>
    <w:basedOn w:val="Normal"/>
    <w:uiPriority w:val="1"/>
    <w:qFormat/>
    <w:pPr>
      <w:ind w:left="50"/>
    </w:pPr>
    <w:rPr>
      <w:rFonts w:ascii="Arial" w:eastAsia="Arial" w:hAnsi="Arial" w:cs="Arial"/>
    </w:rPr>
  </w:style>
  <w:style w:type="character" w:styleId="Nmerodelinha">
    <w:name w:val="line number"/>
    <w:basedOn w:val="Fontepargpadro"/>
    <w:uiPriority w:val="99"/>
    <w:semiHidden/>
    <w:unhideWhenUsed/>
    <w:rsid w:val="00612621"/>
  </w:style>
  <w:style w:type="paragraph" w:styleId="Cabealho">
    <w:name w:val="header"/>
    <w:basedOn w:val="Normal"/>
    <w:link w:val="CabealhoChar"/>
    <w:uiPriority w:val="99"/>
    <w:unhideWhenUsed/>
    <w:rsid w:val="001C4EE4"/>
    <w:pPr>
      <w:tabs>
        <w:tab w:val="center" w:pos="4252"/>
        <w:tab w:val="right" w:pos="8504"/>
      </w:tabs>
    </w:pPr>
  </w:style>
  <w:style w:type="character" w:customStyle="1" w:styleId="CabealhoChar">
    <w:name w:val="Cabeçalho Char"/>
    <w:basedOn w:val="Fontepargpadro"/>
    <w:link w:val="Cabealho"/>
    <w:uiPriority w:val="99"/>
    <w:rsid w:val="001C4EE4"/>
    <w:rPr>
      <w:rFonts w:ascii="Arial MT" w:eastAsia="Arial MT" w:hAnsi="Arial MT" w:cs="Arial MT"/>
      <w:lang w:val="pt-PT"/>
    </w:rPr>
  </w:style>
  <w:style w:type="paragraph" w:styleId="Rodap">
    <w:name w:val="footer"/>
    <w:basedOn w:val="Normal"/>
    <w:link w:val="RodapChar"/>
    <w:uiPriority w:val="99"/>
    <w:unhideWhenUsed/>
    <w:rsid w:val="001C4EE4"/>
    <w:pPr>
      <w:tabs>
        <w:tab w:val="center" w:pos="4252"/>
        <w:tab w:val="right" w:pos="8504"/>
      </w:tabs>
    </w:pPr>
  </w:style>
  <w:style w:type="character" w:customStyle="1" w:styleId="RodapChar">
    <w:name w:val="Rodapé Char"/>
    <w:basedOn w:val="Fontepargpadro"/>
    <w:link w:val="Rodap"/>
    <w:uiPriority w:val="99"/>
    <w:rsid w:val="001C4EE4"/>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a_x002f_hora xmlns="f713f894-8e5f-49bb-aba3-bc5acb6c15a1" xsi:nil="true"/>
    <GPS20_x002d_04 xmlns="f713f894-8e5f-49bb-aba3-bc5acb6c15a1" xsi:nil="true"/>
    <_x0020__x0020__x0020__x0020_ xmlns="f713f894-8e5f-49bb-aba3-bc5acb6c15a1" xsi:nil="true"/>
    <lcf76f155ced4ddcb4097134ff3c332f xmlns="f713f894-8e5f-49bb-aba3-bc5acb6c15a1">
      <Terms xmlns="http://schemas.microsoft.com/office/infopath/2007/PartnerControls"/>
    </lcf76f155ced4ddcb4097134ff3c332f>
    <Edilson xmlns="f713f894-8e5f-49bb-aba3-bc5acb6c15a1">
      <UserInfo>
        <DisplayName/>
        <AccountId xsi:nil="true"/>
        <AccountType/>
      </UserInfo>
    </Edilson>
    <TaxCatchAll xmlns="2654f1fe-3808-4788-a1c9-5f0b422ba0d6" xsi:nil="true"/>
    <_Flow_SignoffStatus xmlns="f713f894-8e5f-49bb-aba3-bc5acb6c15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13A0AECF16DCE43814DAC9BA31E4679" ma:contentTypeVersion="24" ma:contentTypeDescription="Crie um novo documento." ma:contentTypeScope="" ma:versionID="8cc70de98fa3f25d4758272056b383fd">
  <xsd:schema xmlns:xsd="http://www.w3.org/2001/XMLSchema" xmlns:xs="http://www.w3.org/2001/XMLSchema" xmlns:p="http://schemas.microsoft.com/office/2006/metadata/properties" xmlns:ns2="f713f894-8e5f-49bb-aba3-bc5acb6c15a1" xmlns:ns3="2654f1fe-3808-4788-a1c9-5f0b422ba0d6" targetNamespace="http://schemas.microsoft.com/office/2006/metadata/properties" ma:root="true" ma:fieldsID="6764d48c3f9a71d88db86b8f9a7c62d8" ns2:_="" ns3:_="">
    <xsd:import namespace="f713f894-8e5f-49bb-aba3-bc5acb6c15a1"/>
    <xsd:import namespace="2654f1fe-3808-4788-a1c9-5f0b422ba0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GPS20_x002d_04" minOccurs="0"/>
                <xsd:element ref="ns2:_x0020__x0020__x0020__x0020_" minOccurs="0"/>
                <xsd:element ref="ns2:MediaServiceObjectDetectorVersions" minOccurs="0"/>
                <xsd:element ref="ns2:_Flow_SignoffStatus" minOccurs="0"/>
                <xsd:element ref="ns2:MediaServiceSearchProperties" minOccurs="0"/>
                <xsd:element ref="ns2:Data_x002f_hora" minOccurs="0"/>
                <xsd:element ref="ns2:Edil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3f894-8e5f-49bb-aba3-bc5acb6c1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37a9c149-240b-4054-b6f2-0d1c43562288" ma:termSetId="09814cd3-568e-fe90-9814-8d621ff8fb84" ma:anchorId="fba54fb3-c3e1-fe81-a776-ca4b69148c4d" ma:open="true" ma:isKeyword="false">
      <xsd:complexType>
        <xsd:sequence>
          <xsd:element ref="pc:Terms" minOccurs="0" maxOccurs="1"/>
        </xsd:sequence>
      </xsd:complexType>
    </xsd:element>
    <xsd:element name="GPS20_x002d_04" ma:index="24" nillable="true" ma:displayName="GPS 20-04" ma:format="Dropdown" ma:internalName="GPS20_x002d_04">
      <xsd:simpleType>
        <xsd:restriction base="dms:Text">
          <xsd:maxLength value="255"/>
        </xsd:restriction>
      </xsd:simpleType>
    </xsd:element>
    <xsd:element name="_x0020__x0020__x0020__x0020_" ma:index="25" nillable="true" ma:displayName="    " ma:format="Dropdown" ma:internalName="_x0020__x0020__x0020__x0020_">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tatus de liberação" ma:internalName="Status_x0020_de_x0020_libera_x00e7__x00e3_o">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a_x002f_hora" ma:index="29" nillable="true" ma:displayName="Data/hora" ma:format="DateTime" ma:internalName="Data_x002f_hora">
      <xsd:simpleType>
        <xsd:restriction base="dms:DateTime"/>
      </xsd:simpleType>
    </xsd:element>
    <xsd:element name="Edilson" ma:index="30" nillable="true" ma:displayName="Edilson" ma:format="Dropdown" ma:list="UserInfo" ma:SharePointGroup="0" ma:internalName="Edil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4f1fe-3808-4788-a1c9-5f0b422ba0d6"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a401889a-5795-441c-8727-ad37507fe82d}" ma:internalName="TaxCatchAll" ma:showField="CatchAllData" ma:web="2654f1fe-3808-4788-a1c9-5f0b422ba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1CEB6D-DA11-4E36-95C1-BD14F58A4267}">
  <ds:schemaRefs>
    <ds:schemaRef ds:uri="http://purl.org/dc/elements/1.1/"/>
    <ds:schemaRef ds:uri="http://purl.org/dc/terms/"/>
    <ds:schemaRef ds:uri="http://schemas.openxmlformats.org/package/2006/metadata/core-properties"/>
    <ds:schemaRef ds:uri="f713f894-8e5f-49bb-aba3-bc5acb6c15a1"/>
    <ds:schemaRef ds:uri="http://schemas.microsoft.com/office/2006/metadata/properties"/>
    <ds:schemaRef ds:uri="2654f1fe-3808-4788-a1c9-5f0b422ba0d6"/>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ED89E37-A9F3-40AC-BD7B-F236216CD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3f894-8e5f-49bb-aba3-bc5acb6c15a1"/>
    <ds:schemaRef ds:uri="2654f1fe-3808-4788-a1c9-5f0b422ba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741CDC-3FB9-48DE-93CC-AC4F6610AB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2516</Words>
  <Characters>13592</Characters>
  <Application>Microsoft Office Word</Application>
  <DocSecurity>0</DocSecurity>
  <Lines>113</Lines>
  <Paragraphs>32</Paragraphs>
  <ScaleCrop>false</ScaleCrop>
  <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Joelma Eliza Martins</dc:creator>
  <cp:lastModifiedBy>Juliana Vilela</cp:lastModifiedBy>
  <cp:revision>2</cp:revision>
  <dcterms:created xsi:type="dcterms:W3CDTF">2025-09-30T11:56:00Z</dcterms:created>
  <dcterms:modified xsi:type="dcterms:W3CDTF">2025-09-30T11:56:00Z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Microsoft® Word para Microsoft 365</vt:lpwstr>
  </property>
  <property fmtid="{D5CDD505-2E9C-101B-9397-08002B2CF9AE}" pid="4" name="LastSaved">
    <vt:filetime>2025-04-04T00:00:00Z</vt:filetime>
  </property>
  <property fmtid="{D5CDD505-2E9C-101B-9397-08002B2CF9AE}" pid="5" name="Producer">
    <vt:lpwstr>Microsoft® Word para Microsoft 365</vt:lpwstr>
  </property>
  <property fmtid="{D5CDD505-2E9C-101B-9397-08002B2CF9AE}" pid="6" name="ContentTypeId">
    <vt:lpwstr>0x010100E13A0AECF16DCE43814DAC9BA31E4679</vt:lpwstr>
  </property>
  <property fmtid="{D5CDD505-2E9C-101B-9397-08002B2CF9AE}" pid="7" name="MediaServiceImageTags">
    <vt:lpwstr/>
  </property>
</Properties>
</file>