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7A0" w:rsidRPr="00DE2349" w:rsidRDefault="00733FAA" w:rsidP="005D5ADA">
      <w:pPr>
        <w:spacing w:after="2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5857A0" w:rsidRPr="00DE2349">
        <w:rPr>
          <w:rFonts w:ascii="Arial" w:hAnsi="Arial" w:cs="Arial"/>
          <w:b/>
        </w:rPr>
        <w:t>NEXO I</w:t>
      </w:r>
    </w:p>
    <w:p w:rsidR="005857A0" w:rsidRPr="00DE2349" w:rsidRDefault="005857A0" w:rsidP="005D5ADA">
      <w:pPr>
        <w:spacing w:after="240" w:line="360" w:lineRule="auto"/>
        <w:jc w:val="center"/>
        <w:rPr>
          <w:rFonts w:ascii="Arial" w:hAnsi="Arial" w:cs="Arial"/>
          <w:b/>
        </w:rPr>
      </w:pPr>
      <w:r w:rsidRPr="00DE2349">
        <w:rPr>
          <w:rFonts w:ascii="Arial" w:hAnsi="Arial" w:cs="Arial"/>
          <w:b/>
          <w:bCs/>
        </w:rPr>
        <w:t>PLANO DE APLICAÇÃO</w:t>
      </w:r>
      <w:r w:rsidR="005D5ADA">
        <w:rPr>
          <w:rFonts w:ascii="Arial" w:hAnsi="Arial" w:cs="Arial"/>
          <w:b/>
          <w:bCs/>
        </w:rPr>
        <w:t xml:space="preserve"> PLURIANUAL – P</w:t>
      </w:r>
      <w:r w:rsidRPr="00DE2349">
        <w:rPr>
          <w:rFonts w:ascii="Arial" w:hAnsi="Arial" w:cs="Arial"/>
          <w:b/>
          <w:bCs/>
        </w:rPr>
        <w:t>A</w:t>
      </w:r>
      <w:r w:rsidR="005D5ADA">
        <w:rPr>
          <w:rFonts w:ascii="Arial" w:hAnsi="Arial" w:cs="Arial"/>
          <w:b/>
          <w:bCs/>
        </w:rPr>
        <w:t>P</w:t>
      </w:r>
      <w:r w:rsidRPr="00DE2349">
        <w:rPr>
          <w:rFonts w:ascii="Arial" w:hAnsi="Arial" w:cs="Arial"/>
          <w:b/>
          <w:bCs/>
        </w:rPr>
        <w:t xml:space="preserve"> DOS COMITÊS DA </w:t>
      </w:r>
      <w:r w:rsidR="00F556CF" w:rsidRPr="00DE2349">
        <w:rPr>
          <w:rFonts w:ascii="Arial" w:hAnsi="Arial" w:cs="Arial"/>
          <w:b/>
          <w:bCs/>
        </w:rPr>
        <w:t>BACIA</w:t>
      </w:r>
      <w:r w:rsidRPr="00DE2349">
        <w:rPr>
          <w:rFonts w:ascii="Arial" w:hAnsi="Arial" w:cs="Arial"/>
          <w:b/>
          <w:bCs/>
        </w:rPr>
        <w:t xml:space="preserve"> HIDROGRÁFICA DOS AFLUENTES MINEIROS DOS RIOS </w:t>
      </w:r>
      <w:r w:rsidR="0021508C">
        <w:rPr>
          <w:rFonts w:ascii="Arial" w:hAnsi="Arial" w:cs="Arial"/>
          <w:b/>
          <w:bCs/>
        </w:rPr>
        <w:t>POMBA E MURIAÉ</w:t>
      </w:r>
    </w:p>
    <w:p w:rsidR="008F02E9" w:rsidRPr="00DE2349" w:rsidRDefault="008F02E9" w:rsidP="008F02E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Cs/>
        </w:rPr>
      </w:pPr>
      <w:r w:rsidRPr="00DE2349">
        <w:rPr>
          <w:rFonts w:ascii="Arial" w:hAnsi="Arial" w:cs="Arial"/>
          <w:bCs/>
        </w:rPr>
        <w:t xml:space="preserve">O Plano </w:t>
      </w:r>
      <w:r w:rsidRPr="005D5ADA">
        <w:rPr>
          <w:rFonts w:ascii="Arial" w:hAnsi="Arial" w:cs="Arial"/>
          <w:bCs/>
        </w:rPr>
        <w:t xml:space="preserve">de Aplicação </w:t>
      </w:r>
      <w:r w:rsidRPr="00DE2349">
        <w:rPr>
          <w:rFonts w:ascii="Arial" w:hAnsi="Arial" w:cs="Arial"/>
          <w:bCs/>
        </w:rPr>
        <w:t xml:space="preserve">Plurianual </w:t>
      </w:r>
      <w:r>
        <w:rPr>
          <w:rFonts w:ascii="Arial" w:hAnsi="Arial" w:cs="Arial"/>
          <w:bCs/>
        </w:rPr>
        <w:t>- P</w:t>
      </w:r>
      <w:r w:rsidRPr="00DE2349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P do Comitê da</w:t>
      </w:r>
      <w:r w:rsidRPr="00DE2349">
        <w:rPr>
          <w:rFonts w:ascii="Arial" w:hAnsi="Arial" w:cs="Arial"/>
          <w:bCs/>
        </w:rPr>
        <w:t xml:space="preserve"> Bacias Hidrográficas dos Afluentes Mineiros dos Rios </w:t>
      </w:r>
      <w:r>
        <w:rPr>
          <w:rFonts w:ascii="Arial" w:hAnsi="Arial" w:cs="Arial"/>
          <w:bCs/>
        </w:rPr>
        <w:t>Pomba e Muriaé</w:t>
      </w:r>
      <w:r w:rsidRPr="00DE2349">
        <w:rPr>
          <w:rFonts w:ascii="Arial" w:hAnsi="Arial" w:cs="Arial"/>
          <w:bCs/>
        </w:rPr>
        <w:t xml:space="preserve"> constitui o instrumento de planejamento e orientação dos desembolsos a serem executados com recursos da cobrança pel</w:t>
      </w:r>
      <w:r>
        <w:rPr>
          <w:rFonts w:ascii="Arial" w:hAnsi="Arial" w:cs="Arial"/>
          <w:bCs/>
        </w:rPr>
        <w:t>o uso da água no período de janeiro de 2025 a junho de 2026, em conformidade com a vigência do CG IGAM 008/2024</w:t>
      </w:r>
      <w:r w:rsidRPr="00DE2349">
        <w:rPr>
          <w:rFonts w:ascii="Arial" w:hAnsi="Arial" w:cs="Arial"/>
          <w:bCs/>
        </w:rPr>
        <w:t>.</w:t>
      </w:r>
    </w:p>
    <w:p w:rsidR="001B3F29" w:rsidRPr="00DE2349" w:rsidRDefault="001B3F29" w:rsidP="005D5A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DAS PREMISSAS </w:t>
      </w:r>
    </w:p>
    <w:p w:rsidR="008F02E9" w:rsidRPr="00DE2349" w:rsidRDefault="008F02E9" w:rsidP="008F02E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O </w:t>
      </w:r>
      <w:r w:rsidRPr="00DE2349">
        <w:rPr>
          <w:rFonts w:ascii="Arial" w:hAnsi="Arial" w:cs="Arial"/>
          <w:bCs/>
        </w:rPr>
        <w:t xml:space="preserve">Plano </w:t>
      </w:r>
      <w:r w:rsidRPr="005D5ADA">
        <w:rPr>
          <w:rFonts w:ascii="Arial" w:hAnsi="Arial" w:cs="Arial"/>
          <w:bCs/>
        </w:rPr>
        <w:t xml:space="preserve">de Aplicação </w:t>
      </w:r>
      <w:r w:rsidRPr="00DE2349">
        <w:rPr>
          <w:rFonts w:ascii="Arial" w:hAnsi="Arial" w:cs="Arial"/>
          <w:bCs/>
        </w:rPr>
        <w:t>Plurianual se pauta pelas seguintes premissas</w:t>
      </w:r>
      <w:r w:rsidRPr="00DE2349">
        <w:rPr>
          <w:rFonts w:ascii="Arial" w:hAnsi="Arial" w:cs="Arial"/>
        </w:rPr>
        <w:t>:</w:t>
      </w:r>
    </w:p>
    <w:p w:rsidR="008F02E9" w:rsidRDefault="008F02E9" w:rsidP="00390184">
      <w:pPr>
        <w:pStyle w:val="PargrafodaLista1"/>
        <w:autoSpaceDE w:val="0"/>
        <w:autoSpaceDN w:val="0"/>
        <w:adjustRightInd w:val="0"/>
        <w:spacing w:after="240" w:line="360" w:lineRule="auto"/>
        <w:ind w:left="709"/>
        <w:contextualSpacing w:val="0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>As ações a serem executadas devem estar em c</w:t>
      </w:r>
      <w:r>
        <w:rPr>
          <w:rFonts w:ascii="Arial" w:hAnsi="Arial" w:cs="Arial"/>
        </w:rPr>
        <w:t xml:space="preserve">onformidade com os programas de </w:t>
      </w:r>
      <w:r w:rsidRPr="00DE2349">
        <w:rPr>
          <w:rFonts w:ascii="Arial" w:hAnsi="Arial" w:cs="Arial"/>
        </w:rPr>
        <w:t xml:space="preserve">investimentos previstos no </w:t>
      </w:r>
      <w:r>
        <w:rPr>
          <w:rFonts w:ascii="Arial" w:hAnsi="Arial" w:cs="Arial"/>
        </w:rPr>
        <w:t xml:space="preserve">Plano Diretor de Recursos Hídricos da Bacia Hidrográfica dos Afluentes Mineiros dos Rios Pomba e </w:t>
      </w:r>
      <w:proofErr w:type="gramStart"/>
      <w:r>
        <w:rPr>
          <w:rFonts w:ascii="Arial" w:hAnsi="Arial" w:cs="Arial"/>
        </w:rPr>
        <w:t xml:space="preserve">Muriaé </w:t>
      </w:r>
      <w:r w:rsidRPr="00DE2349">
        <w:rPr>
          <w:rFonts w:ascii="Arial" w:hAnsi="Arial" w:cs="Arial"/>
        </w:rPr>
        <w:t xml:space="preserve"> e</w:t>
      </w:r>
      <w:proofErr w:type="gramEnd"/>
      <w:r w:rsidRPr="00DE2349">
        <w:rPr>
          <w:rFonts w:ascii="Arial" w:hAnsi="Arial" w:cs="Arial"/>
        </w:rPr>
        <w:t xml:space="preserve"> com os indicadores do Contrato de Gestão </w:t>
      </w:r>
      <w:r>
        <w:rPr>
          <w:rFonts w:ascii="Arial" w:hAnsi="Arial" w:cs="Arial"/>
        </w:rPr>
        <w:t>firmado entre o IGAM e Entidade Equiparada a Agência de Bacia</w:t>
      </w:r>
      <w:r w:rsidRPr="00DE2349">
        <w:rPr>
          <w:rFonts w:ascii="Arial" w:hAnsi="Arial" w:cs="Arial"/>
        </w:rPr>
        <w:t>;</w:t>
      </w:r>
    </w:p>
    <w:p w:rsidR="008F02E9" w:rsidRPr="00453FF5" w:rsidRDefault="008F02E9" w:rsidP="008F02E9">
      <w:pPr>
        <w:pStyle w:val="PargrafodaLista1"/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PAP deve ser elaborado seguindo as diretrizes do Manual de Execução dos Contratos de Gestão, criado a partir da aprovação do Decreto nº 47.633, de 12 de abril de 2019 e do </w:t>
      </w:r>
      <w:r w:rsidRPr="00453FF5">
        <w:rPr>
          <w:rFonts w:ascii="Arial" w:hAnsi="Arial" w:cs="Arial"/>
          <w:bCs/>
        </w:rPr>
        <w:t>Manual Técnico da Cobrança pelo uso de Recursos Hídricos</w:t>
      </w:r>
      <w:r w:rsidRPr="00453FF5">
        <w:rPr>
          <w:rFonts w:ascii="Arial" w:hAnsi="Arial" w:cs="Arial"/>
        </w:rPr>
        <w:t>, editado pelo IGAM e aprovado pela Deliberação Normativa CERH-MG nº 216, de 15 de dezembro de 2009</w:t>
      </w:r>
      <w:r>
        <w:rPr>
          <w:rFonts w:ascii="Arial" w:hAnsi="Arial" w:cs="Arial"/>
        </w:rPr>
        <w:t>.</w:t>
      </w:r>
    </w:p>
    <w:p w:rsidR="008F02E9" w:rsidRPr="00DE2349" w:rsidRDefault="008F02E9" w:rsidP="008F02E9">
      <w:pPr>
        <w:pStyle w:val="PargrafodaLista1"/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>Com vistas a qualificar e alavancar investimentos na Bacia Hidrográfica dos Rios Preto e Paraibuna, os recursos devem apoiar, preferencialmente, a elaboração de estudos, planos e projetos, bem como intervenç</w:t>
      </w:r>
      <w:r>
        <w:rPr>
          <w:rFonts w:ascii="Arial" w:hAnsi="Arial" w:cs="Arial"/>
        </w:rPr>
        <w:t xml:space="preserve">ões para proteção, preservação, </w:t>
      </w:r>
      <w:r w:rsidRPr="00DE2349">
        <w:rPr>
          <w:rFonts w:ascii="Arial" w:hAnsi="Arial" w:cs="Arial"/>
        </w:rPr>
        <w:t>conservação e recuperação de mananciais, além de promover a educação ambiental e capacitação técnica com foco em recursos hídricos;</w:t>
      </w:r>
    </w:p>
    <w:p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DOS OBJETIVOS </w:t>
      </w:r>
    </w:p>
    <w:p w:rsidR="008F02E9" w:rsidRPr="00390184" w:rsidRDefault="008F02E9" w:rsidP="008F02E9">
      <w:pPr>
        <w:pStyle w:val="PargrafodaLista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390184">
        <w:rPr>
          <w:rFonts w:ascii="Arial" w:hAnsi="Arial" w:cs="Arial"/>
          <w:sz w:val="24"/>
          <w:szCs w:val="24"/>
        </w:rPr>
        <w:lastRenderedPageBreak/>
        <w:t>O Plano de Aplicação Plurianual tem por objetivo o planejamento de médio prazo para alocação de recursos oriundos da cobrança pelo uso dos recursos hídricos que propicie investimentos em ações estruturais e estruturantes com vistas à otimização da aplicação dos recursos, no aperfeiçoamento da gestão e melhoria da qualidade e disponibilidade da água na bacia.</w:t>
      </w:r>
    </w:p>
    <w:p w:rsidR="008F02E9" w:rsidRPr="00DE2349" w:rsidRDefault="008F02E9" w:rsidP="008F02E9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PLANO </w:t>
      </w:r>
      <w:r>
        <w:rPr>
          <w:rFonts w:ascii="Arial" w:hAnsi="Arial" w:cs="Arial"/>
          <w:b/>
        </w:rPr>
        <w:t>INTEGRADO DE RECURSOS HÍDRICOS D</w:t>
      </w:r>
      <w:r w:rsidRPr="00DE2349">
        <w:rPr>
          <w:rFonts w:ascii="Arial" w:hAnsi="Arial" w:cs="Arial"/>
          <w:b/>
        </w:rPr>
        <w:t>A BACIA DO RIO PARAÍBA DO SUL</w:t>
      </w:r>
    </w:p>
    <w:p w:rsidR="008F02E9" w:rsidRPr="00390184" w:rsidRDefault="008F02E9" w:rsidP="008F02E9">
      <w:pPr>
        <w:pStyle w:val="PargrafodaLista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390184">
        <w:rPr>
          <w:rFonts w:ascii="Arial" w:hAnsi="Arial" w:cs="Arial"/>
          <w:sz w:val="24"/>
          <w:szCs w:val="24"/>
        </w:rPr>
        <w:t>O Plano Integrado de Recursos Hídricos da bacia do Rio Paraíba do Sul, concebido para reverter a tendência de agravamento das condições ambientais e de redução quali-quantitativa da disponibilidade hídrica no horizonte de planejamento de 15 anos, apresenta em sua estrutura temática 33 Programas, agrupados em 18 sub-agendas que por sua vez se agrupam em 06 agendas temáticas.</w:t>
      </w:r>
    </w:p>
    <w:p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DO PLANO DE INVESTIMENTOS PARA A REGIÃO HIDROGRÁFICA DOS RIOS </w:t>
      </w:r>
      <w:r w:rsidR="007A6130">
        <w:rPr>
          <w:rFonts w:ascii="Arial" w:hAnsi="Arial" w:cs="Arial"/>
          <w:b/>
        </w:rPr>
        <w:t xml:space="preserve">POMBA E </w:t>
      </w:r>
      <w:r w:rsidR="00571EE5">
        <w:rPr>
          <w:rFonts w:ascii="Arial" w:hAnsi="Arial" w:cs="Arial"/>
          <w:b/>
        </w:rPr>
        <w:t>MURIAÉ</w:t>
      </w:r>
      <w:r w:rsidRPr="00DE2349">
        <w:rPr>
          <w:rFonts w:ascii="Arial" w:hAnsi="Arial" w:cs="Arial"/>
          <w:b/>
        </w:rPr>
        <w:t xml:space="preserve"> </w:t>
      </w:r>
    </w:p>
    <w:p w:rsidR="008F02E9" w:rsidRPr="00390184" w:rsidRDefault="008F02E9" w:rsidP="008F02E9">
      <w:pPr>
        <w:pStyle w:val="PargrafodaLista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390184">
        <w:rPr>
          <w:rFonts w:ascii="Arial" w:hAnsi="Arial" w:cs="Arial"/>
          <w:sz w:val="24"/>
          <w:szCs w:val="24"/>
        </w:rPr>
        <w:t xml:space="preserve">O Manual Operativo do PDRH da Bacia Hidrográfica dos Rios Pomba e Muriaé, define 23 ações distribuídas em 06 agendas, referentes às ações de melhoria quali-quantitativa, constituindo o Plano de Investimentos para Região Hidrográfica dos Rios Pomba e Muriaé, UPGRH – PS2. </w:t>
      </w:r>
    </w:p>
    <w:p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DA PREVISÃO DE ARRECAÇÃO DA COBRANÇA PELO USO DE RECURSOS HÍDRICOS NA </w:t>
      </w:r>
      <w:r w:rsidR="00F556CF" w:rsidRPr="00DE2349">
        <w:rPr>
          <w:rFonts w:ascii="Arial" w:hAnsi="Arial" w:cs="Arial"/>
          <w:b/>
        </w:rPr>
        <w:t>BACIA</w:t>
      </w:r>
      <w:r w:rsidRPr="00DE2349">
        <w:rPr>
          <w:rFonts w:ascii="Arial" w:hAnsi="Arial" w:cs="Arial"/>
          <w:b/>
        </w:rPr>
        <w:t xml:space="preserve"> DO </w:t>
      </w:r>
      <w:r w:rsidR="00571EE5">
        <w:rPr>
          <w:rFonts w:ascii="Arial" w:hAnsi="Arial" w:cs="Arial"/>
          <w:b/>
        </w:rPr>
        <w:t>PS2</w:t>
      </w:r>
      <w:r w:rsidR="002C3D22">
        <w:rPr>
          <w:rFonts w:ascii="Arial" w:hAnsi="Arial" w:cs="Arial"/>
          <w:b/>
        </w:rPr>
        <w:t xml:space="preserve"> NO PERÍODO DE 2020 A 2024</w:t>
      </w:r>
      <w:r w:rsidRPr="00DE2349">
        <w:rPr>
          <w:rFonts w:ascii="Arial" w:hAnsi="Arial" w:cs="Arial"/>
          <w:b/>
        </w:rPr>
        <w:t xml:space="preserve"> E </w:t>
      </w:r>
      <w:r w:rsidR="002C3D22">
        <w:rPr>
          <w:rFonts w:ascii="Arial" w:hAnsi="Arial" w:cs="Arial"/>
          <w:b/>
        </w:rPr>
        <w:t>VALORES REPASSADOS À ENTIDADE EQUIPARADA</w:t>
      </w:r>
    </w:p>
    <w:p w:rsidR="005857A0" w:rsidRDefault="005857A0" w:rsidP="002C3D22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Os recursos oriundos da cobrança com expectativa de arrecadação na </w:t>
      </w:r>
      <w:r w:rsidR="00F556CF" w:rsidRPr="00DE2349">
        <w:rPr>
          <w:rFonts w:ascii="Arial" w:hAnsi="Arial" w:cs="Arial"/>
        </w:rPr>
        <w:t>Bacia</w:t>
      </w:r>
      <w:r w:rsidRPr="00DE2349">
        <w:rPr>
          <w:rFonts w:ascii="Arial" w:hAnsi="Arial" w:cs="Arial"/>
        </w:rPr>
        <w:t xml:space="preserve"> do </w:t>
      </w:r>
      <w:r w:rsidR="00EB0614">
        <w:rPr>
          <w:rFonts w:ascii="Arial" w:hAnsi="Arial" w:cs="Arial"/>
        </w:rPr>
        <w:t>PS2</w:t>
      </w:r>
      <w:r w:rsidR="008F02E9">
        <w:rPr>
          <w:rFonts w:ascii="Arial" w:hAnsi="Arial" w:cs="Arial"/>
        </w:rPr>
        <w:t xml:space="preserve"> entre 2025 e 2026</w:t>
      </w:r>
      <w:r w:rsidRPr="00DE2349">
        <w:rPr>
          <w:rFonts w:ascii="Arial" w:hAnsi="Arial" w:cs="Arial"/>
        </w:rPr>
        <w:t>, perfazem um montante estimado em R$</w:t>
      </w:r>
      <w:r w:rsidR="001D6911">
        <w:rPr>
          <w:rFonts w:ascii="Arial" w:hAnsi="Arial" w:cs="Arial"/>
        </w:rPr>
        <w:t xml:space="preserve"> </w:t>
      </w:r>
      <w:r w:rsidR="003374B4" w:rsidRPr="003374B4">
        <w:rPr>
          <w:rFonts w:ascii="Arial" w:hAnsi="Arial" w:cs="Arial"/>
        </w:rPr>
        <w:t>3.097.228,06</w:t>
      </w:r>
      <w:r w:rsidRPr="00DE2349">
        <w:rPr>
          <w:rFonts w:ascii="Arial" w:hAnsi="Arial" w:cs="Arial"/>
        </w:rPr>
        <w:t>, conforme detalhado abaixo:</w:t>
      </w:r>
    </w:p>
    <w:p w:rsidR="00AB0668" w:rsidRDefault="00AB0668" w:rsidP="002C3D22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</w:p>
    <w:p w:rsidR="00AB0668" w:rsidRDefault="00AB0668" w:rsidP="002C3D22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</w:p>
    <w:tbl>
      <w:tblPr>
        <w:tblW w:w="88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1"/>
        <w:gridCol w:w="3118"/>
        <w:gridCol w:w="2410"/>
        <w:gridCol w:w="2026"/>
      </w:tblGrid>
      <w:tr w:rsidR="002C3D22" w:rsidRPr="002C3D22" w:rsidTr="002C3D22">
        <w:trPr>
          <w:trHeight w:val="462"/>
          <w:jc w:val="center"/>
        </w:trPr>
        <w:tc>
          <w:tcPr>
            <w:tcW w:w="1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93CDDD"/>
            <w:noWrap/>
            <w:vAlign w:val="center"/>
            <w:hideMark/>
          </w:tcPr>
          <w:p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ANO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93CDDD"/>
            <w:vAlign w:val="center"/>
            <w:hideMark/>
          </w:tcPr>
          <w:p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INVESTIMENTO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(92,5%) – R$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000000" w:fill="93CDDD"/>
          </w:tcPr>
          <w:p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CUSTEIO (7,5%) – R$</w:t>
            </w:r>
          </w:p>
        </w:tc>
        <w:tc>
          <w:tcPr>
            <w:tcW w:w="202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000000" w:fill="93CDDD"/>
          </w:tcPr>
          <w:p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TOTAL – R$</w:t>
            </w:r>
          </w:p>
        </w:tc>
      </w:tr>
      <w:tr w:rsidR="002C3D22" w:rsidRPr="002C3D22" w:rsidTr="008F02E9">
        <w:trPr>
          <w:trHeight w:val="600"/>
          <w:jc w:val="center"/>
        </w:trPr>
        <w:tc>
          <w:tcPr>
            <w:tcW w:w="13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BEEF3"/>
            <w:noWrap/>
            <w:vAlign w:val="center"/>
            <w:hideMark/>
          </w:tcPr>
          <w:p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color w:val="000000"/>
                <w:sz w:val="20"/>
              </w:rPr>
              <w:t>202</w:t>
            </w:r>
            <w:r w:rsidR="008F02E9">
              <w:rPr>
                <w:rFonts w:ascii="Arial" w:hAnsi="Arial" w:cs="Arial"/>
                <w:b/>
                <w:color w:val="000000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</w:tcPr>
          <w:p w:rsidR="002C3D22" w:rsidRPr="00571EE5" w:rsidRDefault="00955561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955561">
              <w:rPr>
                <w:rFonts w:ascii="Arial" w:hAnsi="Arial" w:cs="Arial"/>
                <w:b/>
                <w:color w:val="000000"/>
                <w:sz w:val="20"/>
              </w:rPr>
              <w:t>1.385.432,54</w:t>
            </w:r>
          </w:p>
        </w:tc>
        <w:tc>
          <w:tcPr>
            <w:tcW w:w="2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:rsidR="002C3D22" w:rsidRPr="002C3D22" w:rsidRDefault="008F02E9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F02E9">
              <w:rPr>
                <w:rFonts w:ascii="Arial" w:hAnsi="Arial" w:cs="Arial"/>
                <w:b/>
                <w:color w:val="000000"/>
                <w:sz w:val="20"/>
              </w:rPr>
              <w:t>112.332,3</w:t>
            </w:r>
            <w:r w:rsidR="00955561">
              <w:rPr>
                <w:rFonts w:ascii="Arial" w:hAnsi="Arial" w:cs="Arial"/>
                <w:b/>
                <w:color w:val="000000"/>
                <w:sz w:val="20"/>
              </w:rPr>
              <w:t>7</w:t>
            </w:r>
          </w:p>
        </w:tc>
        <w:tc>
          <w:tcPr>
            <w:tcW w:w="202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:rsidR="002C3D22" w:rsidRPr="002C3D22" w:rsidRDefault="008F02E9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F02E9">
              <w:rPr>
                <w:rFonts w:ascii="Arial" w:hAnsi="Arial" w:cs="Arial"/>
                <w:b/>
                <w:color w:val="000000"/>
                <w:sz w:val="20"/>
              </w:rPr>
              <w:t>1.497.764,91</w:t>
            </w:r>
          </w:p>
        </w:tc>
      </w:tr>
      <w:tr w:rsidR="002C3D22" w:rsidRPr="002C3D22" w:rsidTr="008F02E9">
        <w:trPr>
          <w:trHeight w:val="600"/>
          <w:jc w:val="center"/>
        </w:trPr>
        <w:tc>
          <w:tcPr>
            <w:tcW w:w="13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BEEF3"/>
            <w:noWrap/>
            <w:vAlign w:val="center"/>
            <w:hideMark/>
          </w:tcPr>
          <w:p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color w:val="000000"/>
                <w:sz w:val="20"/>
              </w:rPr>
              <w:t>202</w:t>
            </w:r>
            <w:r w:rsidR="008F02E9">
              <w:rPr>
                <w:rFonts w:ascii="Arial" w:hAnsi="Arial" w:cs="Arial"/>
                <w:b/>
                <w:color w:val="000000"/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</w:tcPr>
          <w:p w:rsidR="002C3D22" w:rsidRPr="00571EE5" w:rsidRDefault="00955561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955561">
              <w:rPr>
                <w:rFonts w:ascii="Arial" w:hAnsi="Arial" w:cs="Arial"/>
                <w:b/>
                <w:color w:val="000000"/>
                <w:sz w:val="20"/>
              </w:rPr>
              <w:t>1.479.503,41</w:t>
            </w:r>
          </w:p>
        </w:tc>
        <w:tc>
          <w:tcPr>
            <w:tcW w:w="2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:rsidR="002C3D22" w:rsidRPr="002C3D22" w:rsidRDefault="00955561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955561">
              <w:rPr>
                <w:rFonts w:ascii="Arial" w:hAnsi="Arial" w:cs="Arial"/>
                <w:b/>
                <w:color w:val="000000"/>
                <w:sz w:val="20"/>
              </w:rPr>
              <w:t>119.959,7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:rsidR="002C3D22" w:rsidRPr="002C3D22" w:rsidRDefault="008F02E9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F02E9">
              <w:rPr>
                <w:rFonts w:ascii="Arial" w:hAnsi="Arial" w:cs="Arial"/>
                <w:b/>
                <w:color w:val="000000"/>
                <w:sz w:val="20"/>
              </w:rPr>
              <w:t>1.599.463,15</w:t>
            </w:r>
          </w:p>
        </w:tc>
      </w:tr>
      <w:tr w:rsidR="002C3D22" w:rsidRPr="002C3D22" w:rsidTr="002C3D22">
        <w:trPr>
          <w:trHeight w:val="600"/>
          <w:jc w:val="center"/>
        </w:trPr>
        <w:tc>
          <w:tcPr>
            <w:tcW w:w="13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93CDDD"/>
            <w:noWrap/>
            <w:vAlign w:val="center"/>
            <w:hideMark/>
          </w:tcPr>
          <w:p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3CDDD"/>
            <w:noWrap/>
            <w:vAlign w:val="center"/>
            <w:hideMark/>
          </w:tcPr>
          <w:p w:rsidR="002C3D22" w:rsidRPr="002C3D22" w:rsidRDefault="00955561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55561">
              <w:rPr>
                <w:rFonts w:ascii="Arial" w:hAnsi="Arial" w:cs="Arial"/>
                <w:b/>
                <w:bCs/>
                <w:color w:val="000000"/>
                <w:sz w:val="20"/>
              </w:rPr>
              <w:t>2.864.935,95</w:t>
            </w:r>
          </w:p>
        </w:tc>
        <w:tc>
          <w:tcPr>
            <w:tcW w:w="2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3CDDD"/>
          </w:tcPr>
          <w:p w:rsidR="002C3D22" w:rsidRPr="002C3D22" w:rsidRDefault="00955561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55561">
              <w:rPr>
                <w:rFonts w:ascii="Arial" w:hAnsi="Arial" w:cs="Arial"/>
                <w:b/>
                <w:bCs/>
                <w:color w:val="000000"/>
                <w:sz w:val="20"/>
              </w:rPr>
              <w:t>232.292,11</w:t>
            </w:r>
          </w:p>
        </w:tc>
        <w:tc>
          <w:tcPr>
            <w:tcW w:w="202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3CDDD"/>
          </w:tcPr>
          <w:p w:rsidR="002C3D22" w:rsidRPr="002C3D22" w:rsidRDefault="00955561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55561">
              <w:rPr>
                <w:rFonts w:ascii="Arial" w:hAnsi="Arial" w:cs="Arial"/>
                <w:b/>
                <w:bCs/>
                <w:color w:val="000000"/>
                <w:sz w:val="20"/>
              </w:rPr>
              <w:t>3.097.228,06</w:t>
            </w:r>
          </w:p>
        </w:tc>
      </w:tr>
    </w:tbl>
    <w:p w:rsidR="005857A0" w:rsidRPr="00DE2349" w:rsidRDefault="005857A0" w:rsidP="0034058B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</w:p>
    <w:p w:rsidR="003374B4" w:rsidRPr="00DE2349" w:rsidRDefault="005857A0" w:rsidP="003374B4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3374B4">
        <w:rPr>
          <w:rFonts w:ascii="Arial" w:hAnsi="Arial" w:cs="Arial"/>
          <w:b/>
        </w:rPr>
        <w:t>DOS PROGRAMAS PRIORIZADOS PA</w:t>
      </w:r>
      <w:r w:rsidR="0045258D" w:rsidRPr="003374B4">
        <w:rPr>
          <w:rFonts w:ascii="Arial" w:hAnsi="Arial" w:cs="Arial"/>
          <w:b/>
        </w:rPr>
        <w:t xml:space="preserve">RA INVESTIMENTOS NO PERÍODO </w:t>
      </w:r>
      <w:r w:rsidR="003374B4">
        <w:rPr>
          <w:rFonts w:ascii="Arial" w:hAnsi="Arial" w:cs="Arial"/>
          <w:b/>
        </w:rPr>
        <w:t xml:space="preserve">JANEIRO 2025 A </w:t>
      </w:r>
      <w:proofErr w:type="gramStart"/>
      <w:r w:rsidR="003374B4">
        <w:rPr>
          <w:rFonts w:ascii="Arial" w:hAnsi="Arial" w:cs="Arial"/>
          <w:b/>
        </w:rPr>
        <w:t>JUNHO</w:t>
      </w:r>
      <w:proofErr w:type="gramEnd"/>
      <w:r w:rsidR="003374B4">
        <w:rPr>
          <w:rFonts w:ascii="Arial" w:hAnsi="Arial" w:cs="Arial"/>
          <w:b/>
        </w:rPr>
        <w:t xml:space="preserve"> 2026</w:t>
      </w:r>
    </w:p>
    <w:p w:rsidR="00287E66" w:rsidRPr="003374B4" w:rsidRDefault="00287E66" w:rsidP="003374B4">
      <w:pPr>
        <w:autoSpaceDE w:val="0"/>
        <w:autoSpaceDN w:val="0"/>
        <w:adjustRightInd w:val="0"/>
        <w:spacing w:after="240" w:line="360" w:lineRule="auto"/>
        <w:ind w:left="425"/>
        <w:jc w:val="both"/>
        <w:rPr>
          <w:rFonts w:ascii="Arial" w:hAnsi="Arial" w:cs="Arial"/>
        </w:rPr>
      </w:pPr>
      <w:r w:rsidRPr="003374B4">
        <w:rPr>
          <w:rFonts w:ascii="Arial" w:hAnsi="Arial" w:cs="Arial"/>
        </w:rPr>
        <w:t xml:space="preserve">Para otimização dos recursos da cobrança no período </w:t>
      </w:r>
      <w:r w:rsidR="003374B4">
        <w:rPr>
          <w:rFonts w:ascii="Arial" w:hAnsi="Arial" w:cs="Arial"/>
        </w:rPr>
        <w:t xml:space="preserve">de janeiro de 2025 a junho de 2026, </w:t>
      </w:r>
      <w:r w:rsidR="00571EE5" w:rsidRPr="003374B4">
        <w:rPr>
          <w:rFonts w:ascii="Arial" w:hAnsi="Arial" w:cs="Arial"/>
        </w:rPr>
        <w:t>o PAP do PS2</w:t>
      </w:r>
      <w:r w:rsidRPr="003374B4">
        <w:rPr>
          <w:rFonts w:ascii="Arial" w:hAnsi="Arial" w:cs="Arial"/>
        </w:rPr>
        <w:t xml:space="preserve"> foi organizado em 03 Eixos de Planejamento conforme </w:t>
      </w:r>
      <w:r w:rsidR="007F4114" w:rsidRPr="003374B4">
        <w:rPr>
          <w:rFonts w:ascii="Arial" w:hAnsi="Arial" w:cs="Arial"/>
        </w:rPr>
        <w:t>estrutura apresentada</w:t>
      </w:r>
      <w:r w:rsidRPr="003374B4">
        <w:rPr>
          <w:rFonts w:ascii="Arial" w:hAnsi="Arial" w:cs="Arial"/>
        </w:rPr>
        <w:t xml:space="preserve"> no Manual de Execução dos Contratos de Gestão do IGAM</w:t>
      </w:r>
      <w:r w:rsidR="007F4114" w:rsidRPr="003374B4">
        <w:rPr>
          <w:rFonts w:ascii="Arial" w:hAnsi="Arial" w:cs="Arial"/>
          <w:b/>
        </w:rPr>
        <w:t xml:space="preserve">. </w:t>
      </w:r>
      <w:r w:rsidR="00345294" w:rsidRPr="003374B4">
        <w:rPr>
          <w:rFonts w:ascii="Arial" w:hAnsi="Arial" w:cs="Arial"/>
        </w:rPr>
        <w:t>A estrutura</w:t>
      </w:r>
      <w:r w:rsidR="007F4114" w:rsidRPr="003374B4">
        <w:rPr>
          <w:rFonts w:ascii="Arial" w:hAnsi="Arial" w:cs="Arial"/>
        </w:rPr>
        <w:t xml:space="preserve"> e</w:t>
      </w:r>
      <w:r w:rsidR="00345294" w:rsidRPr="003374B4">
        <w:rPr>
          <w:rFonts w:ascii="Arial" w:hAnsi="Arial" w:cs="Arial"/>
        </w:rPr>
        <w:t xml:space="preserve"> os eixos</w:t>
      </w:r>
      <w:r w:rsidR="007F4114" w:rsidRPr="003374B4">
        <w:rPr>
          <w:rFonts w:ascii="Arial" w:hAnsi="Arial" w:cs="Arial"/>
        </w:rPr>
        <w:t xml:space="preserve"> a ser</w:t>
      </w:r>
      <w:r w:rsidR="00345294" w:rsidRPr="003374B4">
        <w:rPr>
          <w:rFonts w:ascii="Arial" w:hAnsi="Arial" w:cs="Arial"/>
        </w:rPr>
        <w:t>em adotados</w:t>
      </w:r>
      <w:r w:rsidR="007F4114" w:rsidRPr="003374B4">
        <w:rPr>
          <w:rFonts w:ascii="Arial" w:hAnsi="Arial" w:cs="Arial"/>
        </w:rPr>
        <w:t xml:space="preserve"> seguem abaixo</w:t>
      </w:r>
      <w:r w:rsidR="00345294" w:rsidRPr="003374B4">
        <w:rPr>
          <w:rFonts w:ascii="Arial" w:hAnsi="Arial" w:cs="Arial"/>
        </w:rPr>
        <w:t>.</w:t>
      </w:r>
    </w:p>
    <w:p w:rsidR="00345294" w:rsidRPr="00345294" w:rsidRDefault="00345294" w:rsidP="00345294">
      <w:pPr>
        <w:tabs>
          <w:tab w:val="left" w:pos="5580"/>
        </w:tabs>
        <w:spacing w:after="240" w:line="360" w:lineRule="auto"/>
        <w:jc w:val="center"/>
        <w:rPr>
          <w:rFonts w:ascii="Arial" w:hAnsi="Arial" w:cs="Arial"/>
          <w:sz w:val="20"/>
        </w:rPr>
      </w:pPr>
      <w:r w:rsidRPr="00345294">
        <w:rPr>
          <w:rFonts w:ascii="Arial" w:hAnsi="Arial" w:cs="Arial"/>
          <w:b/>
          <w:sz w:val="20"/>
        </w:rPr>
        <w:t xml:space="preserve">Figura 1. </w:t>
      </w:r>
      <w:r w:rsidRPr="00345294">
        <w:rPr>
          <w:rFonts w:ascii="Arial" w:hAnsi="Arial" w:cs="Arial"/>
          <w:sz w:val="20"/>
        </w:rPr>
        <w:t>Estrutura de PAP proposta pelo Manual de Execução dos Contratos de Gestão – IGAM, 2019.</w:t>
      </w:r>
    </w:p>
    <w:p w:rsidR="007F4114" w:rsidRPr="007F4114" w:rsidRDefault="00992B91" w:rsidP="007F4114">
      <w:pPr>
        <w:tabs>
          <w:tab w:val="left" w:pos="5580"/>
        </w:tabs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248025" cy="1809750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4B4" w:rsidRDefault="003374B4" w:rsidP="003374B4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Observação: tendo em vista a estrutura apresentada no Manual Operativo do PDRH</w:t>
      </w:r>
      <w:r w:rsidRPr="00DE23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Bacia Hidrográfica </w:t>
      </w:r>
      <w:r w:rsidRPr="00DE2349">
        <w:rPr>
          <w:rFonts w:ascii="Arial" w:hAnsi="Arial" w:cs="Arial"/>
        </w:rPr>
        <w:t xml:space="preserve">dos Rios </w:t>
      </w:r>
      <w:r>
        <w:rPr>
          <w:rFonts w:ascii="Arial" w:hAnsi="Arial" w:cs="Arial"/>
        </w:rPr>
        <w:t>Pomba e Muriaé, que elenca 23 ações específicas a serem desenvolvidas em sua região hidrográfica, estabeleceremos, para que o mesmo fique em consonância com o referido plano, os seguintes níveis de organização do PAP.</w:t>
      </w:r>
    </w:p>
    <w:p w:rsidR="00A1746C" w:rsidRPr="00345294" w:rsidRDefault="00A1746C" w:rsidP="00A1746C">
      <w:pPr>
        <w:tabs>
          <w:tab w:val="left" w:pos="5580"/>
        </w:tabs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34491" wp14:editId="31BA3E7A">
                <wp:simplePos x="0" y="0"/>
                <wp:positionH relativeFrom="column">
                  <wp:posOffset>1861819</wp:posOffset>
                </wp:positionH>
                <wp:positionV relativeFrom="paragraph">
                  <wp:posOffset>983615</wp:posOffset>
                </wp:positionV>
                <wp:extent cx="1038225" cy="27622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46C" w:rsidRDefault="00A1746C" w:rsidP="00A1746C">
                            <w:r>
                              <w:t>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34491" id="Retângulo 4" o:spid="_x0000_s1026" style="position:absolute;left:0;text-align:left;margin-left:146.6pt;margin-top:77.45pt;width:8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" fillcolor="white [3201]" strokecolor="white [3212]" strokeweight="2pt">
                <v:textbox>
                  <w:txbxContent>
                    <w:p w:rsidR="00A1746C" w:rsidRDefault="00A1746C" w:rsidP="00A1746C">
                      <w:r>
                        <w:t>Ação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38B43" wp14:editId="26C27DDB">
                <wp:simplePos x="0" y="0"/>
                <wp:positionH relativeFrom="column">
                  <wp:posOffset>2071370</wp:posOffset>
                </wp:positionH>
                <wp:positionV relativeFrom="paragraph">
                  <wp:posOffset>1402715</wp:posOffset>
                </wp:positionV>
                <wp:extent cx="1171575" cy="32385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746C" w:rsidRDefault="00A1746C" w:rsidP="00A1746C">
                            <w:r>
                              <w:t>Programa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38B43" id="Retângulo 5" o:spid="_x0000_s1027" style="position:absolute;left:0;text-align:left;margin-left:163.1pt;margin-top:110.45pt;width:92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" fillcolor="window" strokecolor="window" strokeweight="2pt">
                <v:textbox>
                  <w:txbxContent>
                    <w:p w:rsidR="00A1746C" w:rsidRDefault="00A1746C" w:rsidP="00A1746C">
                      <w:r>
                        <w:t>Programa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D6324A6" wp14:editId="1F81C5AE">
            <wp:extent cx="3248025" cy="1809750"/>
            <wp:effectExtent l="0" t="0" r="9525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58D" w:rsidRPr="0045258D" w:rsidRDefault="0045258D" w:rsidP="0045258D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 w:rsidRPr="00B34921">
        <w:rPr>
          <w:rFonts w:ascii="Arial" w:hAnsi="Arial" w:cs="Arial"/>
          <w:b/>
        </w:rPr>
        <w:t>Eixo 1</w:t>
      </w:r>
      <w:r w:rsidRPr="0045258D">
        <w:rPr>
          <w:rFonts w:ascii="Arial" w:hAnsi="Arial" w:cs="Arial"/>
        </w:rPr>
        <w:t xml:space="preserve"> – Programas e Ações de Gestão: Compreendem ações que visam gerir a quantidade</w:t>
      </w:r>
      <w:r w:rsidR="004C30A0">
        <w:rPr>
          <w:rFonts w:ascii="Arial" w:hAnsi="Arial" w:cs="Arial"/>
        </w:rPr>
        <w:t xml:space="preserve"> </w:t>
      </w:r>
      <w:r w:rsidRPr="0045258D">
        <w:rPr>
          <w:rFonts w:ascii="Arial" w:hAnsi="Arial" w:cs="Arial"/>
        </w:rPr>
        <w:t>e qualidade dos recursos hídricos, seja trabalho de diagnóstico, conscientização e sensibilização da população da bacia hidrográfica. São exemplos de tais ações: diagnóstico e prognóstico ambiental, educação ambiental, monitoramento dos aspectos qualitativos e</w:t>
      </w:r>
      <w:r>
        <w:rPr>
          <w:rFonts w:ascii="Arial" w:hAnsi="Arial" w:cs="Arial"/>
        </w:rPr>
        <w:t xml:space="preserve"> </w:t>
      </w:r>
      <w:r w:rsidRPr="0045258D">
        <w:rPr>
          <w:rFonts w:ascii="Arial" w:hAnsi="Arial" w:cs="Arial"/>
        </w:rPr>
        <w:t>quantitativos, sistemas de informações, capacitação de membros de comitês e de possíveis multiplicadore</w:t>
      </w:r>
      <w:r w:rsidR="008D5D58">
        <w:rPr>
          <w:rFonts w:ascii="Arial" w:hAnsi="Arial" w:cs="Arial"/>
        </w:rPr>
        <w:t>s, apoio às reuniões do</w:t>
      </w:r>
      <w:r w:rsidR="007A6130">
        <w:rPr>
          <w:rFonts w:ascii="Arial" w:hAnsi="Arial" w:cs="Arial"/>
        </w:rPr>
        <w:t xml:space="preserve"> comitê</w:t>
      </w:r>
      <w:r w:rsidRPr="0045258D">
        <w:rPr>
          <w:rFonts w:ascii="Arial" w:hAnsi="Arial" w:cs="Arial"/>
        </w:rPr>
        <w:t>, campanhas de conscientização e uso racional da água, comunicação e mobilização social.</w:t>
      </w:r>
    </w:p>
    <w:p w:rsidR="0045258D" w:rsidRPr="0045258D" w:rsidRDefault="0045258D" w:rsidP="0045258D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 w:rsidRPr="00B34921">
        <w:rPr>
          <w:rFonts w:ascii="Arial" w:hAnsi="Arial" w:cs="Arial"/>
          <w:b/>
        </w:rPr>
        <w:t>Eixo 2</w:t>
      </w:r>
      <w:r w:rsidRPr="0045258D">
        <w:rPr>
          <w:rFonts w:ascii="Arial" w:hAnsi="Arial" w:cs="Arial"/>
        </w:rPr>
        <w:t xml:space="preserve"> – Programas e Ações de Planejamento: Objetivam apoiar investimentos que contribuam para instrumentalizar e aprimorar a gestão dos recursos hídricos relativos às ações de planejamento, por meio do desenvolvimento de instrumentos estabelecidos pela Política Estadual de Recursos Hídricos, como: elaboração de estudos de concepção, planos, projetos básicos e executivos, necessários à execução de ações estruturais e de gestão, que visem à melhoria das condições ambientais da bacia.</w:t>
      </w:r>
    </w:p>
    <w:p w:rsidR="0045258D" w:rsidRDefault="0045258D" w:rsidP="0045258D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 w:rsidRPr="00B34921">
        <w:rPr>
          <w:rFonts w:ascii="Arial" w:hAnsi="Arial" w:cs="Arial"/>
          <w:b/>
        </w:rPr>
        <w:t>Eixo 3</w:t>
      </w:r>
      <w:r w:rsidRPr="0045258D">
        <w:rPr>
          <w:rFonts w:ascii="Arial" w:hAnsi="Arial" w:cs="Arial"/>
        </w:rPr>
        <w:t xml:space="preserve"> – Programas e Ações Estruturais: São</w:t>
      </w:r>
      <w:r w:rsidR="007A6130">
        <w:rPr>
          <w:rFonts w:ascii="Arial" w:hAnsi="Arial" w:cs="Arial"/>
        </w:rPr>
        <w:t xml:space="preserve"> obras de engenharia que visam à</w:t>
      </w:r>
      <w:r w:rsidRPr="0045258D">
        <w:rPr>
          <w:rFonts w:ascii="Arial" w:hAnsi="Arial" w:cs="Arial"/>
        </w:rPr>
        <w:t xml:space="preserve"> implementação dos projetos desenvolvidos relativos à melhoria da qualidade e quantidade de água da bacia, devendo incluir ações não estruturais voltadas para o combate à causa dos problemas.</w:t>
      </w:r>
    </w:p>
    <w:p w:rsidR="006F2100" w:rsidRDefault="00302C47" w:rsidP="0034058B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</w:t>
      </w:r>
      <w:r w:rsidR="005857A0" w:rsidRPr="005F702A">
        <w:rPr>
          <w:rFonts w:ascii="Arial" w:hAnsi="Arial" w:cs="Arial"/>
        </w:rPr>
        <w:t xml:space="preserve"> valor total previsto para arrecada</w:t>
      </w:r>
      <w:r w:rsidR="00572917" w:rsidRPr="005F702A">
        <w:rPr>
          <w:rFonts w:ascii="Arial" w:hAnsi="Arial" w:cs="Arial"/>
        </w:rPr>
        <w:t>çã</w:t>
      </w:r>
      <w:r w:rsidR="00521863" w:rsidRPr="005F702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(parcela</w:t>
      </w:r>
      <w:r w:rsidR="00192315">
        <w:rPr>
          <w:rFonts w:ascii="Arial" w:hAnsi="Arial" w:cs="Arial"/>
        </w:rPr>
        <w:t xml:space="preserve"> </w:t>
      </w:r>
      <w:r w:rsidR="00192315" w:rsidRPr="00192315">
        <w:rPr>
          <w:rFonts w:ascii="Arial" w:hAnsi="Arial" w:cs="Arial"/>
        </w:rPr>
        <w:t>investimento</w:t>
      </w:r>
      <w:r>
        <w:rPr>
          <w:rFonts w:ascii="Arial" w:hAnsi="Arial" w:cs="Arial"/>
        </w:rPr>
        <w:t>)</w:t>
      </w:r>
      <w:r w:rsidR="00192315" w:rsidRPr="00192315">
        <w:rPr>
          <w:rFonts w:ascii="Arial" w:hAnsi="Arial" w:cs="Arial"/>
        </w:rPr>
        <w:t xml:space="preserve"> no período</w:t>
      </w:r>
      <w:r w:rsidR="00FC3A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3374B4">
        <w:rPr>
          <w:rFonts w:ascii="Arial" w:hAnsi="Arial" w:cs="Arial"/>
        </w:rPr>
        <w:t>janeiro de 2025 a junho de 2026</w:t>
      </w:r>
      <w:r>
        <w:rPr>
          <w:rFonts w:ascii="Arial" w:hAnsi="Arial" w:cs="Arial"/>
        </w:rPr>
        <w:t xml:space="preserve"> </w:t>
      </w:r>
      <w:r w:rsidR="00FC3A4B">
        <w:rPr>
          <w:rFonts w:ascii="Arial" w:hAnsi="Arial" w:cs="Arial"/>
        </w:rPr>
        <w:t>(</w:t>
      </w:r>
      <w:r w:rsidR="00FC3A4B" w:rsidRPr="00FC3A4B">
        <w:rPr>
          <w:rFonts w:ascii="Arial" w:hAnsi="Arial" w:cs="Arial"/>
        </w:rPr>
        <w:t xml:space="preserve">R$ </w:t>
      </w:r>
      <w:r w:rsidR="003374B4" w:rsidRPr="003374B4">
        <w:rPr>
          <w:rFonts w:ascii="Arial" w:hAnsi="Arial" w:cs="Arial"/>
        </w:rPr>
        <w:t>2.864.935,95</w:t>
      </w:r>
      <w:r w:rsidR="00FC3A4B" w:rsidRPr="00FC3A4B">
        <w:rPr>
          <w:rFonts w:ascii="Arial" w:hAnsi="Arial" w:cs="Arial"/>
        </w:rPr>
        <w:t>)</w:t>
      </w:r>
      <w:r w:rsidR="00192315" w:rsidRPr="00FC3A4B">
        <w:rPr>
          <w:rFonts w:ascii="Arial" w:hAnsi="Arial" w:cs="Arial"/>
        </w:rPr>
        <w:t xml:space="preserve">, </w:t>
      </w:r>
      <w:r w:rsidR="008D5D58">
        <w:rPr>
          <w:rFonts w:ascii="Arial" w:hAnsi="Arial" w:cs="Arial"/>
        </w:rPr>
        <w:t xml:space="preserve">soma-se </w:t>
      </w:r>
      <w:r w:rsidR="00192315">
        <w:rPr>
          <w:rFonts w:ascii="Arial" w:hAnsi="Arial" w:cs="Arial"/>
        </w:rPr>
        <w:t xml:space="preserve">o valor do saldo remanescente repassado à entidade equiparada para o desenvolvimento de projetos </w:t>
      </w:r>
      <w:r w:rsidR="00FC3A4B">
        <w:rPr>
          <w:rFonts w:ascii="Arial" w:hAnsi="Arial" w:cs="Arial"/>
        </w:rPr>
        <w:t xml:space="preserve">(R$ </w:t>
      </w:r>
      <w:r w:rsidR="00390184">
        <w:rPr>
          <w:rFonts w:ascii="Arial" w:hAnsi="Arial" w:cs="Arial"/>
        </w:rPr>
        <w:t>10.759.353,52</w:t>
      </w:r>
      <w:r w:rsidR="00FC3A4B">
        <w:rPr>
          <w:rFonts w:ascii="Arial" w:hAnsi="Arial" w:cs="Arial"/>
        </w:rPr>
        <w:t>)</w:t>
      </w:r>
      <w:r w:rsidR="003374B4">
        <w:rPr>
          <w:rFonts w:ascii="Arial" w:hAnsi="Arial" w:cs="Arial"/>
        </w:rPr>
        <w:t>.</w:t>
      </w:r>
    </w:p>
    <w:p w:rsidR="006F2100" w:rsidRPr="00584F51" w:rsidRDefault="00863A5C" w:rsidP="00302C47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240" w:line="480" w:lineRule="auto"/>
        <w:ind w:left="283" w:hanging="3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4,</w:t>
      </w:r>
      <w:r w:rsidR="00D67CBB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C41A5F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857A0" w:rsidRPr="00584F51">
        <w:rPr>
          <w:rFonts w:ascii="Arial" w:eastAsia="Times New Roman" w:hAnsi="Arial" w:cs="Arial"/>
          <w:sz w:val="24"/>
          <w:szCs w:val="24"/>
          <w:lang w:eastAsia="pt-BR"/>
        </w:rPr>
        <w:t>% co</w:t>
      </w:r>
      <w:r w:rsidR="00192315" w:rsidRPr="00584F51">
        <w:rPr>
          <w:rFonts w:ascii="Arial" w:eastAsia="Times New Roman" w:hAnsi="Arial" w:cs="Arial"/>
          <w:sz w:val="24"/>
          <w:szCs w:val="24"/>
          <w:lang w:eastAsia="pt-BR"/>
        </w:rPr>
        <w:t>ncentra-se em ações do Eixo</w:t>
      </w:r>
      <w:r w:rsidR="005857A0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1 </w:t>
      </w:r>
      <w:r w:rsidR="00192315" w:rsidRPr="00584F51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5857A0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92315" w:rsidRPr="00584F51">
        <w:rPr>
          <w:rFonts w:ascii="Arial" w:eastAsia="Times New Roman" w:hAnsi="Arial" w:cs="Arial"/>
          <w:sz w:val="24"/>
          <w:szCs w:val="24"/>
          <w:lang w:eastAsia="pt-BR"/>
        </w:rPr>
        <w:t>Programas e Ações de Gestão</w:t>
      </w:r>
      <w:r w:rsidR="008D43AF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</w:p>
    <w:p w:rsidR="006F2100" w:rsidRPr="00584F51" w:rsidRDefault="00863A5C" w:rsidP="00302C47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240" w:line="480" w:lineRule="auto"/>
        <w:ind w:left="283" w:hanging="3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61,</w:t>
      </w:r>
      <w:r w:rsidR="00D67CBB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C41A5F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857A0" w:rsidRPr="00584F51">
        <w:rPr>
          <w:rFonts w:ascii="Arial" w:eastAsia="Times New Roman" w:hAnsi="Arial" w:cs="Arial"/>
          <w:sz w:val="24"/>
          <w:szCs w:val="24"/>
          <w:lang w:eastAsia="pt-BR"/>
        </w:rPr>
        <w:t>% con</w:t>
      </w:r>
      <w:r w:rsidR="00192315" w:rsidRPr="00584F51">
        <w:rPr>
          <w:rFonts w:ascii="Arial" w:eastAsia="Times New Roman" w:hAnsi="Arial" w:cs="Arial"/>
          <w:sz w:val="24"/>
          <w:szCs w:val="24"/>
          <w:lang w:eastAsia="pt-BR"/>
        </w:rPr>
        <w:t>centra-se em ações do Eixo</w:t>
      </w:r>
      <w:r w:rsidR="008D43AF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2 – Programas e Ações de Planejamento</w:t>
      </w:r>
      <w:r w:rsidR="008A5710" w:rsidRPr="00584F51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8D43AF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</w:p>
    <w:p w:rsidR="00813BF5" w:rsidRPr="00584F51" w:rsidRDefault="00AB0668" w:rsidP="00302C47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240" w:line="480" w:lineRule="auto"/>
        <w:ind w:left="283" w:hanging="3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34,</w:t>
      </w:r>
      <w:r w:rsidR="00D67CBB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C41A5F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857A0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% concentra-se em ações do </w:t>
      </w:r>
      <w:r w:rsidR="007F4114" w:rsidRPr="00584F51">
        <w:rPr>
          <w:rFonts w:ascii="Arial" w:eastAsia="Times New Roman" w:hAnsi="Arial" w:cs="Arial"/>
          <w:sz w:val="24"/>
          <w:szCs w:val="24"/>
          <w:lang w:eastAsia="pt-BR"/>
        </w:rPr>
        <w:t>Eixo</w:t>
      </w:r>
      <w:r w:rsidR="005857A0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3 </w:t>
      </w:r>
      <w:r w:rsidR="007F4114" w:rsidRPr="00584F51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5857A0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F4114" w:rsidRPr="00584F51">
        <w:rPr>
          <w:rFonts w:ascii="Arial" w:eastAsia="Times New Roman" w:hAnsi="Arial" w:cs="Arial"/>
          <w:sz w:val="24"/>
          <w:szCs w:val="24"/>
          <w:lang w:eastAsia="pt-BR"/>
        </w:rPr>
        <w:t>Programa e Ações Estruturais</w:t>
      </w:r>
      <w:r w:rsidR="005857A0" w:rsidRPr="00584F51">
        <w:rPr>
          <w:rFonts w:ascii="Arial" w:hAnsi="Arial" w:cs="Arial"/>
        </w:rPr>
        <w:t xml:space="preserve">. </w:t>
      </w:r>
    </w:p>
    <w:p w:rsidR="005857A0" w:rsidRDefault="00AB0668" w:rsidP="007F411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346EBD">
        <w:rPr>
          <w:rFonts w:ascii="Arial" w:hAnsi="Arial" w:cs="Arial"/>
        </w:rPr>
        <w:t>A alocação dos recursos consolidad</w:t>
      </w:r>
      <w:r>
        <w:rPr>
          <w:rFonts w:ascii="Arial" w:hAnsi="Arial" w:cs="Arial"/>
        </w:rPr>
        <w:t xml:space="preserve">os para o peródo de vigência deste </w:t>
      </w:r>
      <w:proofErr w:type="gramStart"/>
      <w:r>
        <w:rPr>
          <w:rFonts w:ascii="Arial" w:hAnsi="Arial" w:cs="Arial"/>
        </w:rPr>
        <w:t xml:space="preserve">instrumento  </w:t>
      </w:r>
      <w:r w:rsidR="006F2100">
        <w:rPr>
          <w:rFonts w:ascii="Arial" w:hAnsi="Arial" w:cs="Arial"/>
        </w:rPr>
        <w:t>(</w:t>
      </w:r>
      <w:proofErr w:type="gramEnd"/>
      <w:r w:rsidR="003374B4">
        <w:rPr>
          <w:rFonts w:ascii="Arial" w:hAnsi="Arial" w:cs="Arial"/>
        </w:rPr>
        <w:t xml:space="preserve">total de </w:t>
      </w:r>
      <w:r w:rsidR="004C30A0">
        <w:rPr>
          <w:rFonts w:ascii="Arial" w:hAnsi="Arial" w:cs="Arial"/>
        </w:rPr>
        <w:t xml:space="preserve">R$ </w:t>
      </w:r>
      <w:r w:rsidR="00584F51">
        <w:rPr>
          <w:rFonts w:ascii="Arial" w:hAnsi="Arial" w:cs="Arial"/>
        </w:rPr>
        <w:t>5.</w:t>
      </w:r>
      <w:r w:rsidR="00863A5C">
        <w:rPr>
          <w:rFonts w:ascii="Arial" w:hAnsi="Arial" w:cs="Arial"/>
        </w:rPr>
        <w:t>2</w:t>
      </w:r>
      <w:r w:rsidR="00DF7C7C">
        <w:rPr>
          <w:rFonts w:ascii="Arial" w:hAnsi="Arial" w:cs="Arial"/>
        </w:rPr>
        <w:t>47</w:t>
      </w:r>
      <w:r w:rsidR="00584F51">
        <w:rPr>
          <w:rFonts w:ascii="Arial" w:hAnsi="Arial" w:cs="Arial"/>
        </w:rPr>
        <w:t>.363,23</w:t>
      </w:r>
      <w:r w:rsidR="006F2100">
        <w:rPr>
          <w:rFonts w:ascii="Arial" w:hAnsi="Arial" w:cs="Arial"/>
        </w:rPr>
        <w:t>)</w:t>
      </w:r>
      <w:r w:rsidR="006F2100" w:rsidRPr="006F2100">
        <w:rPr>
          <w:rFonts w:ascii="Arial" w:hAnsi="Arial" w:cs="Arial"/>
        </w:rPr>
        <w:t xml:space="preserve"> </w:t>
      </w:r>
      <w:r w:rsidR="00584CAC">
        <w:rPr>
          <w:rFonts w:ascii="Arial" w:hAnsi="Arial" w:cs="Arial"/>
        </w:rPr>
        <w:t>na</w:t>
      </w:r>
      <w:r w:rsidR="007F4114">
        <w:rPr>
          <w:rFonts w:ascii="Arial" w:hAnsi="Arial" w:cs="Arial"/>
        </w:rPr>
        <w:t xml:space="preserve">s </w:t>
      </w:r>
      <w:r w:rsidR="003374B4">
        <w:rPr>
          <w:rFonts w:ascii="Arial" w:hAnsi="Arial" w:cs="Arial"/>
        </w:rPr>
        <w:t>05</w:t>
      </w:r>
      <w:r w:rsidR="005857A0" w:rsidRPr="00346EBD">
        <w:rPr>
          <w:rFonts w:ascii="Arial" w:hAnsi="Arial" w:cs="Arial"/>
        </w:rPr>
        <w:t xml:space="preserve"> </w:t>
      </w:r>
      <w:r w:rsidR="00584CAC">
        <w:rPr>
          <w:rFonts w:ascii="Arial" w:hAnsi="Arial" w:cs="Arial"/>
        </w:rPr>
        <w:t>atividades priorizada</w:t>
      </w:r>
      <w:r w:rsidR="005857A0" w:rsidRPr="00346EBD">
        <w:rPr>
          <w:rFonts w:ascii="Arial" w:hAnsi="Arial" w:cs="Arial"/>
        </w:rPr>
        <w:t>s, observará a seguinte distribuição:</w:t>
      </w:r>
    </w:p>
    <w:p w:rsidR="003374B4" w:rsidRPr="00584F51" w:rsidRDefault="0033197A" w:rsidP="003374B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Programa 1.1.1.1</w:t>
      </w:r>
      <w:r w:rsidR="003374B4" w:rsidRPr="00584F51">
        <w:rPr>
          <w:rFonts w:ascii="Arial" w:hAnsi="Arial" w:cs="Arial"/>
          <w:b/>
        </w:rPr>
        <w:t xml:space="preserve"> </w:t>
      </w:r>
      <w:r w:rsidR="003374B4" w:rsidRPr="00584F51">
        <w:rPr>
          <w:rFonts w:ascii="Arial" w:hAnsi="Arial" w:cs="Arial"/>
        </w:rPr>
        <w:t>– Tratamento da Informação Qualificada – R$ 18.000,00</w:t>
      </w:r>
    </w:p>
    <w:p w:rsidR="003374B4" w:rsidRPr="00584F51" w:rsidRDefault="003374B4" w:rsidP="003374B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584F51">
        <w:rPr>
          <w:rFonts w:ascii="Arial" w:hAnsi="Arial" w:cs="Arial"/>
          <w:b/>
        </w:rPr>
        <w:t>Programa 1.1.1.</w:t>
      </w:r>
      <w:r w:rsidR="0033197A">
        <w:rPr>
          <w:rFonts w:ascii="Arial" w:hAnsi="Arial" w:cs="Arial"/>
          <w:b/>
        </w:rPr>
        <w:t>2</w:t>
      </w:r>
      <w:r w:rsidRPr="00584F51">
        <w:rPr>
          <w:rFonts w:ascii="Arial" w:hAnsi="Arial" w:cs="Arial"/>
        </w:rPr>
        <w:t xml:space="preserve"> – Operacionalização do CBH </w:t>
      </w:r>
      <w:r w:rsidR="00390184" w:rsidRPr="00584F51">
        <w:rPr>
          <w:rFonts w:ascii="Arial" w:hAnsi="Arial" w:cs="Arial"/>
        </w:rPr>
        <w:t>Pomba e Muriaé</w:t>
      </w:r>
      <w:r w:rsidRPr="00584F51">
        <w:rPr>
          <w:rFonts w:ascii="Arial" w:hAnsi="Arial" w:cs="Arial"/>
        </w:rPr>
        <w:t xml:space="preserve"> – R$ </w:t>
      </w:r>
      <w:r w:rsidR="00584F51" w:rsidRPr="00584F51">
        <w:rPr>
          <w:rFonts w:ascii="Arial" w:hAnsi="Arial" w:cs="Arial"/>
        </w:rPr>
        <w:t>4</w:t>
      </w:r>
      <w:r w:rsidRPr="00584F51">
        <w:rPr>
          <w:rFonts w:ascii="Arial" w:hAnsi="Arial" w:cs="Arial"/>
        </w:rPr>
        <w:t>5.000,00;</w:t>
      </w:r>
    </w:p>
    <w:p w:rsidR="003374B4" w:rsidRPr="00584F51" w:rsidRDefault="003374B4" w:rsidP="003374B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584F51">
        <w:rPr>
          <w:rFonts w:ascii="Arial" w:hAnsi="Arial" w:cs="Arial"/>
          <w:b/>
        </w:rPr>
        <w:t>Programa 1.1.1.</w:t>
      </w:r>
      <w:r w:rsidR="0033197A">
        <w:rPr>
          <w:rFonts w:ascii="Arial" w:hAnsi="Arial" w:cs="Arial"/>
          <w:b/>
        </w:rPr>
        <w:t>3</w:t>
      </w:r>
      <w:r w:rsidRPr="00584F51">
        <w:rPr>
          <w:rFonts w:ascii="Arial" w:hAnsi="Arial" w:cs="Arial"/>
        </w:rPr>
        <w:t xml:space="preserve"> – Estruturação Técnica do CBH </w:t>
      </w:r>
      <w:r w:rsidR="00390184" w:rsidRPr="00584F51">
        <w:rPr>
          <w:rFonts w:ascii="Arial" w:hAnsi="Arial" w:cs="Arial"/>
        </w:rPr>
        <w:t xml:space="preserve">Pomba e Muriaé </w:t>
      </w:r>
      <w:r w:rsidRPr="00584F51">
        <w:rPr>
          <w:rFonts w:ascii="Arial" w:hAnsi="Arial" w:cs="Arial"/>
        </w:rPr>
        <w:t xml:space="preserve">– R$ </w:t>
      </w:r>
      <w:r w:rsidR="00DF7C7C">
        <w:rPr>
          <w:rFonts w:ascii="Arial" w:hAnsi="Arial" w:cs="Arial"/>
        </w:rPr>
        <w:t>164</w:t>
      </w:r>
      <w:r w:rsidRPr="00584F51">
        <w:rPr>
          <w:rFonts w:ascii="Arial" w:hAnsi="Arial" w:cs="Arial"/>
        </w:rPr>
        <w:t>.000,00;</w:t>
      </w:r>
    </w:p>
    <w:p w:rsidR="003374B4" w:rsidRPr="00584F51" w:rsidRDefault="003374B4" w:rsidP="003374B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584F51">
        <w:rPr>
          <w:rFonts w:ascii="Arial" w:hAnsi="Arial" w:cs="Arial"/>
          <w:b/>
        </w:rPr>
        <w:t>Programa 2.1.</w:t>
      </w:r>
      <w:r w:rsidR="00B21C23">
        <w:rPr>
          <w:rFonts w:ascii="Arial" w:hAnsi="Arial" w:cs="Arial"/>
          <w:b/>
        </w:rPr>
        <w:t>1</w:t>
      </w:r>
      <w:bookmarkStart w:id="0" w:name="_GoBack"/>
      <w:bookmarkEnd w:id="0"/>
      <w:r w:rsidRPr="00584F51">
        <w:rPr>
          <w:rFonts w:ascii="Arial" w:hAnsi="Arial" w:cs="Arial"/>
          <w:b/>
        </w:rPr>
        <w:t>.1</w:t>
      </w:r>
      <w:r w:rsidRPr="00584F51">
        <w:rPr>
          <w:rFonts w:ascii="Arial" w:hAnsi="Arial" w:cs="Arial"/>
        </w:rPr>
        <w:t xml:space="preserve"> – Coleta e Tratamento de Esgotos Domésticos – Fase 1 (ações não </w:t>
      </w:r>
      <w:r w:rsidR="00390184" w:rsidRPr="00584F51">
        <w:rPr>
          <w:rFonts w:ascii="Arial" w:hAnsi="Arial" w:cs="Arial"/>
        </w:rPr>
        <w:t>estruturais)</w:t>
      </w:r>
      <w:r w:rsidR="00584F51" w:rsidRPr="00584F51">
        <w:rPr>
          <w:rFonts w:ascii="Arial" w:hAnsi="Arial" w:cs="Arial"/>
        </w:rPr>
        <w:t>, R$</w:t>
      </w:r>
      <w:r w:rsidR="00584F51">
        <w:rPr>
          <w:rFonts w:ascii="Arial" w:hAnsi="Arial" w:cs="Arial"/>
        </w:rPr>
        <w:t xml:space="preserve"> 3.</w:t>
      </w:r>
      <w:r w:rsidR="00AB0668">
        <w:rPr>
          <w:rFonts w:ascii="Arial" w:hAnsi="Arial" w:cs="Arial"/>
        </w:rPr>
        <w:t>2</w:t>
      </w:r>
      <w:r w:rsidR="00584F51" w:rsidRPr="00584F51">
        <w:rPr>
          <w:rFonts w:ascii="Arial" w:hAnsi="Arial" w:cs="Arial"/>
        </w:rPr>
        <w:t>00.000,00</w:t>
      </w:r>
      <w:r w:rsidR="00390184" w:rsidRPr="00584F51">
        <w:rPr>
          <w:rFonts w:ascii="Arial" w:hAnsi="Arial" w:cs="Arial"/>
        </w:rPr>
        <w:t>;</w:t>
      </w:r>
    </w:p>
    <w:p w:rsidR="003374B4" w:rsidRDefault="003374B4" w:rsidP="003374B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584F51">
        <w:rPr>
          <w:rFonts w:ascii="Arial" w:hAnsi="Arial" w:cs="Arial"/>
          <w:b/>
        </w:rPr>
        <w:t>Programa 3.1.</w:t>
      </w:r>
      <w:r w:rsidR="00B21C23">
        <w:rPr>
          <w:rFonts w:ascii="Arial" w:hAnsi="Arial" w:cs="Arial"/>
          <w:b/>
        </w:rPr>
        <w:t>1</w:t>
      </w:r>
      <w:r w:rsidRPr="00584F51">
        <w:rPr>
          <w:rFonts w:ascii="Arial" w:hAnsi="Arial" w:cs="Arial"/>
          <w:b/>
        </w:rPr>
        <w:t xml:space="preserve">.1 </w:t>
      </w:r>
      <w:r w:rsidRPr="00584F51">
        <w:rPr>
          <w:rFonts w:ascii="Arial" w:hAnsi="Arial" w:cs="Arial"/>
        </w:rPr>
        <w:t xml:space="preserve">– Ações de Preservação de APPs e de Incentivo à Sustentabilidade no Uso da Terra, R$ </w:t>
      </w:r>
      <w:r w:rsidR="00584F51" w:rsidRPr="00584F51">
        <w:rPr>
          <w:rFonts w:ascii="Arial" w:hAnsi="Arial" w:cs="Arial"/>
        </w:rPr>
        <w:t>1.820.363,23</w:t>
      </w:r>
      <w:r w:rsidRPr="00584F51">
        <w:rPr>
          <w:rFonts w:ascii="Arial" w:hAnsi="Arial" w:cs="Arial"/>
        </w:rPr>
        <w:t>;</w:t>
      </w:r>
    </w:p>
    <w:p w:rsidR="007F2FD9" w:rsidRPr="00DE2349" w:rsidRDefault="005857A0" w:rsidP="00584CA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As ações elegíveis serão detalhadas em Edital ou Ato Convocatório correspondente, a ser divulgado </w:t>
      </w:r>
      <w:r w:rsidR="008A1CA2" w:rsidRPr="00DE2349">
        <w:rPr>
          <w:rFonts w:ascii="Arial" w:hAnsi="Arial" w:cs="Arial"/>
        </w:rPr>
        <w:t>pela</w:t>
      </w:r>
      <w:r w:rsidR="00C3734C">
        <w:rPr>
          <w:rFonts w:ascii="Arial" w:hAnsi="Arial" w:cs="Arial"/>
        </w:rPr>
        <w:t xml:space="preserve"> entidade equiparada à</w:t>
      </w:r>
      <w:r w:rsidRPr="00DE2349">
        <w:rPr>
          <w:rFonts w:ascii="Arial" w:hAnsi="Arial" w:cs="Arial"/>
        </w:rPr>
        <w:t xml:space="preserve"> Agência de </w:t>
      </w:r>
      <w:r w:rsidR="00F556CF" w:rsidRPr="00DE2349">
        <w:rPr>
          <w:rFonts w:ascii="Arial" w:hAnsi="Arial" w:cs="Arial"/>
        </w:rPr>
        <w:t>Bacia</w:t>
      </w:r>
      <w:r w:rsidR="001428E2" w:rsidRPr="00DE2349">
        <w:rPr>
          <w:rFonts w:ascii="Arial" w:hAnsi="Arial" w:cs="Arial"/>
        </w:rPr>
        <w:t>, observando a legislação Federal, Estadual e Municipal pertinente</w:t>
      </w:r>
      <w:r w:rsidRPr="00DE2349">
        <w:rPr>
          <w:rFonts w:ascii="Arial" w:hAnsi="Arial" w:cs="Arial"/>
        </w:rPr>
        <w:t>.</w:t>
      </w:r>
    </w:p>
    <w:p w:rsidR="00D05520" w:rsidRDefault="00D0552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DOS CRITÉRIOS DE HIERARQUIZAÇÃO PARA INVESTIMENTOS </w:t>
      </w:r>
    </w:p>
    <w:p w:rsidR="00D05520" w:rsidRDefault="00D05520" w:rsidP="00C3734C">
      <w:pPr>
        <w:pStyle w:val="Recuodecorpodetexto"/>
        <w:spacing w:after="240" w:line="360" w:lineRule="auto"/>
        <w:ind w:left="0"/>
        <w:jc w:val="both"/>
        <w:rPr>
          <w:rFonts w:ascii="Arial" w:hAnsi="Arial" w:cs="Arial"/>
          <w:lang w:eastAsia="en-US"/>
        </w:rPr>
      </w:pPr>
      <w:r w:rsidRPr="00DE2349">
        <w:rPr>
          <w:rFonts w:ascii="Arial" w:hAnsi="Arial" w:cs="Arial"/>
          <w:lang w:eastAsia="en-US"/>
        </w:rPr>
        <w:t>Poderão ser hierarquizados os recursos arrecadados com a cobrança pelo uso de recu</w:t>
      </w:r>
      <w:r w:rsidR="00C3734C">
        <w:rPr>
          <w:rFonts w:ascii="Arial" w:hAnsi="Arial" w:cs="Arial"/>
          <w:lang w:eastAsia="en-US"/>
        </w:rPr>
        <w:t xml:space="preserve">rsos hídricos </w:t>
      </w:r>
      <w:r w:rsidR="001D1C10">
        <w:rPr>
          <w:rFonts w:ascii="Arial" w:hAnsi="Arial" w:cs="Arial"/>
          <w:lang w:eastAsia="en-US"/>
        </w:rPr>
        <w:t>no período de janeiro de 2025 a junho de 2026</w:t>
      </w:r>
      <w:r w:rsidR="00C3734C">
        <w:rPr>
          <w:rFonts w:ascii="Arial" w:hAnsi="Arial" w:cs="Arial"/>
          <w:lang w:eastAsia="en-US"/>
        </w:rPr>
        <w:t xml:space="preserve">, distribuídos nas </w:t>
      </w:r>
      <w:r w:rsidR="001D1C10">
        <w:rPr>
          <w:rFonts w:ascii="Arial" w:hAnsi="Arial" w:cs="Arial"/>
          <w:lang w:eastAsia="en-US"/>
        </w:rPr>
        <w:t>05</w:t>
      </w:r>
      <w:r w:rsidRPr="00DE2349">
        <w:rPr>
          <w:rFonts w:ascii="Arial" w:hAnsi="Arial" w:cs="Arial"/>
          <w:lang w:eastAsia="en-US"/>
        </w:rPr>
        <w:t xml:space="preserve"> </w:t>
      </w:r>
      <w:r w:rsidR="00C3734C">
        <w:rPr>
          <w:rFonts w:ascii="Arial" w:hAnsi="Arial" w:cs="Arial"/>
          <w:lang w:eastAsia="en-US"/>
        </w:rPr>
        <w:t>atividades</w:t>
      </w:r>
      <w:r w:rsidR="00302C47">
        <w:rPr>
          <w:rFonts w:ascii="Arial" w:hAnsi="Arial" w:cs="Arial"/>
          <w:lang w:eastAsia="en-US"/>
        </w:rPr>
        <w:t xml:space="preserve"> priorizada</w:t>
      </w:r>
      <w:r w:rsidR="00083151">
        <w:rPr>
          <w:rFonts w:ascii="Arial" w:hAnsi="Arial" w:cs="Arial"/>
          <w:lang w:eastAsia="en-US"/>
        </w:rPr>
        <w:t>s</w:t>
      </w:r>
      <w:r w:rsidRPr="00DE2349">
        <w:rPr>
          <w:rFonts w:ascii="Arial" w:hAnsi="Arial" w:cs="Arial"/>
          <w:lang w:eastAsia="en-US"/>
        </w:rPr>
        <w:t>, quais sejam: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7257"/>
      </w:tblGrid>
      <w:tr w:rsidR="00F33519" w:rsidTr="00F11E19">
        <w:tc>
          <w:tcPr>
            <w:tcW w:w="2097" w:type="dxa"/>
          </w:tcPr>
          <w:p w:rsidR="00F33519" w:rsidRDefault="00F33519" w:rsidP="00F33519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0D0135">
              <w:rPr>
                <w:rFonts w:ascii="Arial" w:hAnsi="Arial" w:cs="Arial"/>
                <w:b/>
              </w:rPr>
              <w:t>Componente</w:t>
            </w:r>
          </w:p>
        </w:tc>
        <w:tc>
          <w:tcPr>
            <w:tcW w:w="7257" w:type="dxa"/>
          </w:tcPr>
          <w:p w:rsidR="00F33519" w:rsidRPr="00F33519" w:rsidRDefault="00F33519" w:rsidP="00F33519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083151">
              <w:rPr>
                <w:rFonts w:ascii="Arial" w:hAnsi="Arial" w:cs="Arial"/>
                <w:b/>
              </w:rPr>
              <w:t>Eixo 1</w:t>
            </w:r>
            <w:r w:rsidRPr="00F33519">
              <w:rPr>
                <w:rFonts w:ascii="Arial" w:hAnsi="Arial" w:cs="Arial"/>
              </w:rPr>
              <w:t xml:space="preserve"> – Programas e Ações de Gestão</w:t>
            </w:r>
          </w:p>
        </w:tc>
      </w:tr>
      <w:tr w:rsidR="00F33519" w:rsidTr="00F11E19">
        <w:tc>
          <w:tcPr>
            <w:tcW w:w="2097" w:type="dxa"/>
          </w:tcPr>
          <w:p w:rsidR="00F33519" w:rsidRDefault="00F33519" w:rsidP="00F33519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0D0135">
              <w:rPr>
                <w:rFonts w:ascii="Arial" w:hAnsi="Arial" w:cs="Arial"/>
                <w:b/>
              </w:rPr>
              <w:t>Subcomponente</w:t>
            </w:r>
          </w:p>
        </w:tc>
        <w:tc>
          <w:tcPr>
            <w:tcW w:w="7257" w:type="dxa"/>
          </w:tcPr>
          <w:p w:rsidR="00F33519" w:rsidRPr="00F33519" w:rsidRDefault="00F33519" w:rsidP="00F33519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083151">
              <w:rPr>
                <w:rFonts w:ascii="Arial" w:hAnsi="Arial" w:cs="Arial"/>
                <w:b/>
              </w:rPr>
              <w:t>1.1</w:t>
            </w:r>
            <w:r w:rsidRPr="00F33519">
              <w:rPr>
                <w:rFonts w:ascii="Arial" w:hAnsi="Arial" w:cs="Arial"/>
              </w:rPr>
              <w:t xml:space="preserve"> – </w:t>
            </w:r>
            <w:r w:rsidRPr="00F33519">
              <w:rPr>
                <w:rFonts w:ascii="Arial" w:hAnsi="Arial" w:cs="Arial"/>
                <w:lang w:eastAsia="en-US"/>
              </w:rPr>
              <w:t>Programa de Gestão Ambiental e Fortalecimento Institucional</w:t>
            </w:r>
          </w:p>
        </w:tc>
      </w:tr>
      <w:tr w:rsidR="00F33519" w:rsidTr="00F11E19">
        <w:tc>
          <w:tcPr>
            <w:tcW w:w="2097" w:type="dxa"/>
          </w:tcPr>
          <w:p w:rsidR="00F33519" w:rsidRDefault="00F33519" w:rsidP="00A1746C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Ação </w:t>
            </w:r>
          </w:p>
        </w:tc>
        <w:tc>
          <w:tcPr>
            <w:tcW w:w="7257" w:type="dxa"/>
          </w:tcPr>
          <w:p w:rsidR="00F33519" w:rsidRPr="00F33519" w:rsidRDefault="00F33519" w:rsidP="00F33519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083151">
              <w:rPr>
                <w:rFonts w:ascii="Arial" w:hAnsi="Arial" w:cs="Arial"/>
                <w:b/>
                <w:lang w:eastAsia="en-US"/>
              </w:rPr>
              <w:t>1.1.1</w:t>
            </w:r>
            <w:r w:rsidRPr="00F33519">
              <w:rPr>
                <w:rFonts w:ascii="Arial" w:hAnsi="Arial" w:cs="Arial"/>
                <w:lang w:eastAsia="en-US"/>
              </w:rPr>
              <w:t xml:space="preserve"> – Ferramentas de Construção da Gestão Participativa</w:t>
            </w:r>
          </w:p>
        </w:tc>
      </w:tr>
      <w:tr w:rsidR="00F11E19" w:rsidTr="00F11E19">
        <w:tc>
          <w:tcPr>
            <w:tcW w:w="2097" w:type="dxa"/>
          </w:tcPr>
          <w:p w:rsidR="00F11E19" w:rsidRDefault="00F11E19" w:rsidP="00F11E19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7257" w:type="dxa"/>
          </w:tcPr>
          <w:p w:rsidR="00F11E19" w:rsidRPr="00C41A5F" w:rsidRDefault="0033197A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1.1.1.1</w:t>
            </w:r>
            <w:r w:rsidR="00F11E19" w:rsidRPr="00C41A5F">
              <w:rPr>
                <w:rFonts w:ascii="Arial" w:hAnsi="Arial" w:cs="Arial"/>
                <w:b/>
                <w:lang w:eastAsia="en-US"/>
              </w:rPr>
              <w:t xml:space="preserve"> -</w:t>
            </w:r>
            <w:r w:rsidR="00F11E19" w:rsidRPr="00C41A5F">
              <w:rPr>
                <w:rFonts w:ascii="Arial" w:hAnsi="Arial" w:cs="Arial"/>
                <w:lang w:eastAsia="en-US"/>
              </w:rPr>
              <w:t xml:space="preserve"> Tratamento da Informação Qualificada</w:t>
            </w:r>
          </w:p>
          <w:p w:rsidR="00F11E19" w:rsidRPr="00C41A5F" w:rsidRDefault="001D1C10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lang w:eastAsia="en-US"/>
              </w:rPr>
            </w:pPr>
            <w:r w:rsidRPr="00F562E2">
              <w:rPr>
                <w:rFonts w:ascii="Arial" w:hAnsi="Arial" w:cs="Arial"/>
                <w:lang w:eastAsia="en-US"/>
              </w:rPr>
              <w:lastRenderedPageBreak/>
              <w:t xml:space="preserve">A presente atividade tem por objetivo </w:t>
            </w:r>
            <w:r>
              <w:rPr>
                <w:rFonts w:ascii="Arial" w:hAnsi="Arial" w:cs="Arial"/>
                <w:lang w:eastAsia="en-US"/>
              </w:rPr>
              <w:t xml:space="preserve">arcar com os custos de manutenção e atualização do Sistema SIGA, que tem como escopo a </w:t>
            </w:r>
            <w:r w:rsidRPr="00F562E2">
              <w:rPr>
                <w:rFonts w:ascii="Arial" w:hAnsi="Arial" w:cs="Arial"/>
                <w:lang w:eastAsia="en-US"/>
              </w:rPr>
              <w:t xml:space="preserve">estruturação de banco de dados inteligente de modo a servir aos diferentes programas e atividades do CBH, seja no que se refere ao acompanhamento físico e financeiro de projetos, disponibilização de informações técnicas relativas aos recursos hídricos da bacia e outras ações do comitê. O sistema </w:t>
            </w:r>
            <w:r>
              <w:rPr>
                <w:rFonts w:ascii="Arial" w:hAnsi="Arial" w:cs="Arial"/>
                <w:lang w:eastAsia="en-US"/>
              </w:rPr>
              <w:t>será</w:t>
            </w:r>
            <w:r w:rsidRPr="00F562E2">
              <w:rPr>
                <w:rFonts w:ascii="Arial" w:hAnsi="Arial" w:cs="Arial"/>
                <w:lang w:eastAsia="en-US"/>
              </w:rPr>
              <w:t xml:space="preserve"> utilizado  também no sentido de informatizar a parte operacional da secretaria executiva do comitê (assinatura eletrônica de documentos, elaboração de atas de reunião, tramitação de solicitações de diárias, reembolsos, pagamentos diversos a fornecedores etc), além do acompanhamento dos indicadores e metas do Contrato de Gestão.</w:t>
            </w:r>
            <w:r w:rsidR="00F11E19" w:rsidRPr="00C41A5F">
              <w:rPr>
                <w:rFonts w:ascii="Arial" w:hAnsi="Arial" w:cs="Arial"/>
                <w:lang w:eastAsia="en-US"/>
              </w:rPr>
              <w:t>.</w:t>
            </w:r>
          </w:p>
        </w:tc>
      </w:tr>
      <w:tr w:rsidR="00F11E19" w:rsidTr="00F11E19">
        <w:tc>
          <w:tcPr>
            <w:tcW w:w="2097" w:type="dxa"/>
          </w:tcPr>
          <w:p w:rsidR="00F11E19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A1746C">
              <w:rPr>
                <w:rFonts w:ascii="Arial" w:hAnsi="Arial" w:cs="Arial"/>
                <w:b/>
              </w:rPr>
              <w:lastRenderedPageBreak/>
              <w:t>Programa</w:t>
            </w:r>
          </w:p>
        </w:tc>
        <w:tc>
          <w:tcPr>
            <w:tcW w:w="7257" w:type="dxa"/>
          </w:tcPr>
          <w:p w:rsidR="00F11E19" w:rsidRPr="00C41A5F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C41A5F">
              <w:rPr>
                <w:rFonts w:ascii="Arial" w:hAnsi="Arial" w:cs="Arial"/>
                <w:b/>
              </w:rPr>
              <w:t>1.1.1.</w:t>
            </w:r>
            <w:r w:rsidR="0033197A">
              <w:rPr>
                <w:rFonts w:ascii="Arial" w:hAnsi="Arial" w:cs="Arial"/>
                <w:b/>
              </w:rPr>
              <w:t>2</w:t>
            </w:r>
            <w:r w:rsidRPr="00C41A5F">
              <w:rPr>
                <w:rFonts w:ascii="Arial" w:hAnsi="Arial" w:cs="Arial"/>
              </w:rPr>
              <w:t xml:space="preserve"> – Operacionalização do CBH Pomba e Muriaé</w:t>
            </w:r>
          </w:p>
          <w:p w:rsidR="001D1C10" w:rsidRPr="00D86668" w:rsidRDefault="001D1C10" w:rsidP="001D1C10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>A execução de atividades ou serviços para a operacionalização do Comitê requer recursos financeiros e relaciona-se, em especial, com os indicadores e metas do Contrato de Gestão e ao atendimento de solicitações dos membros do Comitê, tais quais:</w:t>
            </w:r>
          </w:p>
          <w:p w:rsidR="001D1C10" w:rsidRPr="00D86668" w:rsidRDefault="001D1C10" w:rsidP="001D1C10">
            <w:pPr>
              <w:pStyle w:val="Recuodecorpodetexto"/>
              <w:numPr>
                <w:ilvl w:val="0"/>
                <w:numId w:val="30"/>
              </w:numPr>
              <w:spacing w:after="240" w:line="360" w:lineRule="auto"/>
              <w:ind w:left="453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>Deslocamento dos membros do Comitê: locação de veículo, combustível, passagens para participação em eventos e reuniões, dentre outros;</w:t>
            </w:r>
          </w:p>
          <w:p w:rsidR="001D1C10" w:rsidRPr="00D86668" w:rsidRDefault="001D1C10" w:rsidP="001D1C10">
            <w:pPr>
              <w:pStyle w:val="Recuodecorpodetexto"/>
              <w:numPr>
                <w:ilvl w:val="0"/>
                <w:numId w:val="30"/>
              </w:numPr>
              <w:spacing w:after="240" w:line="360" w:lineRule="auto"/>
              <w:ind w:left="453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>Estadia, diária e alimentação dos membros do Comitê para participação em eventos e reuniões;</w:t>
            </w:r>
          </w:p>
          <w:p w:rsidR="001D1C10" w:rsidRPr="00D86668" w:rsidRDefault="001D1C10" w:rsidP="001D1C10">
            <w:pPr>
              <w:pStyle w:val="Recuodecorpodetexto"/>
              <w:numPr>
                <w:ilvl w:val="0"/>
                <w:numId w:val="30"/>
              </w:numPr>
              <w:spacing w:after="240" w:line="360" w:lineRule="auto"/>
              <w:ind w:left="453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</w:rPr>
              <w:t>Custos de realização e participação das reuniões Plenárias, câmaras técnicas, grupos de trabalhos (Coffee Break, serviços de áudio, som e filmagem, recepção, locação de espaço, serviço de reprografia, etc);</w:t>
            </w:r>
          </w:p>
          <w:p w:rsidR="00F11E19" w:rsidRPr="00C41A5F" w:rsidRDefault="001D1C10" w:rsidP="001D1C10">
            <w:pPr>
              <w:pStyle w:val="Recuodecorpodetexto"/>
              <w:numPr>
                <w:ilvl w:val="0"/>
                <w:numId w:val="30"/>
              </w:numPr>
              <w:spacing w:after="240" w:line="360" w:lineRule="auto"/>
              <w:ind w:left="453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</w:rPr>
              <w:lastRenderedPageBreak/>
              <w:t>Serviços de comunicação voltados para as ações do Comitê que visam divulgar o trabalho do CBH e mobilizar atores estratégicos para participação ativa nas atividades desenvolvidas na bacia hidrográfica, produção de conteúdo e utilização de mídias sociais para maior visibilidade às atividades do CBH, serviços de publicação de editoriais (revistas, livros, etc), hosting e domínios do Comitê, dentre outros;</w:t>
            </w:r>
          </w:p>
        </w:tc>
      </w:tr>
      <w:tr w:rsidR="00F11E19" w:rsidTr="00F11E19">
        <w:tc>
          <w:tcPr>
            <w:tcW w:w="2097" w:type="dxa"/>
          </w:tcPr>
          <w:p w:rsidR="00F11E19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Programa</w:t>
            </w:r>
          </w:p>
        </w:tc>
        <w:tc>
          <w:tcPr>
            <w:tcW w:w="7257" w:type="dxa"/>
          </w:tcPr>
          <w:p w:rsidR="00F11E19" w:rsidRPr="00C41A5F" w:rsidRDefault="0033197A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1.1.1.3</w:t>
            </w:r>
            <w:r w:rsidR="00F11E19" w:rsidRPr="00C41A5F">
              <w:rPr>
                <w:rFonts w:ascii="Arial" w:hAnsi="Arial" w:cs="Arial"/>
                <w:b/>
              </w:rPr>
              <w:t xml:space="preserve">  - </w:t>
            </w:r>
            <w:r w:rsidR="00F11E19" w:rsidRPr="00C41A5F">
              <w:rPr>
                <w:rFonts w:ascii="Arial" w:hAnsi="Arial" w:cs="Arial"/>
              </w:rPr>
              <w:t>Estruturação técnica do CBH Pomba e Muriaé</w:t>
            </w:r>
          </w:p>
          <w:p w:rsidR="00F11E19" w:rsidRPr="00C41A5F" w:rsidRDefault="001D1C10" w:rsidP="00536C50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F562E2">
              <w:rPr>
                <w:rFonts w:ascii="Arial" w:hAnsi="Arial" w:cs="Arial"/>
              </w:rPr>
              <w:t>Este programa prevê a contratação de empresa para desempenho das funções de secretaria executiva do comitê, bem como a contratação de profissional da área técnica para acompanhamento da execução do PAP, seja pela contratação de empresa especializada para concepção, elaboração e  acompanhamento de programa específico ou, preferencialmente, para arcar com as despesas de salários, encargos sociais e benefícios de profissional da área técnica  pertencente aos quadros da entidade equiparada, selecionado por meio de processo seletivo público.</w:t>
            </w:r>
            <w:r>
              <w:rPr>
                <w:rFonts w:ascii="Arial" w:hAnsi="Arial" w:cs="Arial"/>
              </w:rPr>
              <w:t xml:space="preserve"> Neste caso, deve-se aguardar a alteração do Art. 23 do Decreto 47633/2019 que estebelece o enquadramento das despesas de custeio e de investimento realizadas com recursos da CRH.</w:t>
            </w:r>
          </w:p>
        </w:tc>
      </w:tr>
      <w:tr w:rsidR="00F11E19" w:rsidTr="00F11E19">
        <w:tc>
          <w:tcPr>
            <w:tcW w:w="2097" w:type="dxa"/>
          </w:tcPr>
          <w:p w:rsidR="00F11E19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0D0135">
              <w:rPr>
                <w:rFonts w:ascii="Arial" w:hAnsi="Arial" w:cs="Arial"/>
                <w:b/>
              </w:rPr>
              <w:t>Componente</w:t>
            </w:r>
          </w:p>
        </w:tc>
        <w:tc>
          <w:tcPr>
            <w:tcW w:w="7257" w:type="dxa"/>
          </w:tcPr>
          <w:p w:rsidR="00F11E19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083151">
              <w:rPr>
                <w:rFonts w:ascii="Arial" w:hAnsi="Arial" w:cs="Arial"/>
                <w:b/>
              </w:rPr>
              <w:t xml:space="preserve">Eixo 2 – </w:t>
            </w:r>
            <w:r w:rsidRPr="00083151">
              <w:rPr>
                <w:rFonts w:ascii="Arial" w:hAnsi="Arial" w:cs="Arial"/>
              </w:rPr>
              <w:t>Programas e Ações de Planejamento</w:t>
            </w:r>
          </w:p>
        </w:tc>
      </w:tr>
      <w:tr w:rsidR="00F11E19" w:rsidTr="00F11E19">
        <w:tc>
          <w:tcPr>
            <w:tcW w:w="2097" w:type="dxa"/>
          </w:tcPr>
          <w:p w:rsidR="00F11E19" w:rsidRPr="000D0135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0D0135">
              <w:rPr>
                <w:rFonts w:ascii="Arial" w:hAnsi="Arial" w:cs="Arial"/>
                <w:b/>
              </w:rPr>
              <w:t>Subcomponente</w:t>
            </w:r>
          </w:p>
        </w:tc>
        <w:tc>
          <w:tcPr>
            <w:tcW w:w="7257" w:type="dxa"/>
          </w:tcPr>
          <w:p w:rsidR="00F11E19" w:rsidRPr="00083151" w:rsidRDefault="00F11E19" w:rsidP="00F11E19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0D0135">
              <w:rPr>
                <w:rFonts w:ascii="Arial" w:hAnsi="Arial" w:cs="Arial"/>
                <w:b/>
              </w:rPr>
              <w:t>.1</w:t>
            </w:r>
            <w:r w:rsidRPr="000D013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Planejamento e Gestão dos Recursos Hídricos</w:t>
            </w:r>
          </w:p>
        </w:tc>
      </w:tr>
      <w:tr w:rsidR="00F11E19" w:rsidTr="00F11E19">
        <w:tc>
          <w:tcPr>
            <w:tcW w:w="2097" w:type="dxa"/>
          </w:tcPr>
          <w:p w:rsidR="00F11E19" w:rsidRPr="000D0135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0D0135">
              <w:rPr>
                <w:rFonts w:ascii="Arial" w:hAnsi="Arial" w:cs="Arial"/>
                <w:b/>
                <w:lang w:eastAsia="en-US"/>
              </w:rPr>
              <w:t>Ação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</w:tc>
        <w:tc>
          <w:tcPr>
            <w:tcW w:w="7257" w:type="dxa"/>
          </w:tcPr>
          <w:p w:rsidR="00F11E19" w:rsidRPr="00271D59" w:rsidRDefault="00F11E19" w:rsidP="00AB0668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Pr="000D0135">
              <w:rPr>
                <w:rFonts w:ascii="Arial" w:hAnsi="Arial" w:cs="Arial"/>
                <w:b/>
                <w:lang w:eastAsia="en-US"/>
              </w:rPr>
              <w:t>.1.</w:t>
            </w:r>
            <w:r w:rsidR="00AB0668">
              <w:rPr>
                <w:rFonts w:ascii="Arial" w:hAnsi="Arial" w:cs="Arial"/>
                <w:b/>
                <w:lang w:eastAsia="en-US"/>
              </w:rPr>
              <w:t>1</w:t>
            </w:r>
            <w:r w:rsidRPr="000D0135">
              <w:rPr>
                <w:rFonts w:ascii="Arial" w:hAnsi="Arial" w:cs="Arial"/>
                <w:lang w:eastAsia="en-US"/>
              </w:rPr>
              <w:t xml:space="preserve"> – </w:t>
            </w:r>
            <w:r>
              <w:rPr>
                <w:rFonts w:ascii="Arial" w:hAnsi="Arial" w:cs="Arial"/>
                <w:lang w:eastAsia="en-US"/>
              </w:rPr>
              <w:t>Elaboração de Estudos d</w:t>
            </w:r>
            <w:r w:rsidRPr="009140D2">
              <w:rPr>
                <w:rFonts w:ascii="Arial" w:hAnsi="Arial" w:cs="Arial"/>
                <w:lang w:eastAsia="en-US"/>
              </w:rPr>
              <w:t>e Conce</w:t>
            </w:r>
            <w:r>
              <w:rPr>
                <w:rFonts w:ascii="Arial" w:hAnsi="Arial" w:cs="Arial"/>
                <w:lang w:eastAsia="en-US"/>
              </w:rPr>
              <w:t>pção, Planos, Projetos Básicos e</w:t>
            </w:r>
            <w:r w:rsidRPr="009140D2">
              <w:rPr>
                <w:rFonts w:ascii="Arial" w:hAnsi="Arial" w:cs="Arial"/>
                <w:lang w:eastAsia="en-US"/>
              </w:rPr>
              <w:t xml:space="preserve"> Executivos</w:t>
            </w:r>
          </w:p>
        </w:tc>
      </w:tr>
      <w:tr w:rsidR="00F11E19" w:rsidTr="00F11E19">
        <w:tc>
          <w:tcPr>
            <w:tcW w:w="2097" w:type="dxa"/>
          </w:tcPr>
          <w:p w:rsidR="00F11E19" w:rsidRPr="000D0135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A1746C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7257" w:type="dxa"/>
          </w:tcPr>
          <w:p w:rsidR="00F11E19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2.1.</w:t>
            </w:r>
            <w:r w:rsidR="00AB0668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.1</w:t>
            </w:r>
            <w:r w:rsidRPr="00945C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Pr="00945C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Coleta e Tratamento de Esgotos Domésticos – Fase 1 (ações não estruturais)</w:t>
            </w:r>
          </w:p>
          <w:p w:rsidR="00F11E19" w:rsidRPr="00271D59" w:rsidRDefault="001D1C10" w:rsidP="00390184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lang w:eastAsia="en-US"/>
              </w:rPr>
            </w:pPr>
            <w:r w:rsidRPr="00D86668">
              <w:rPr>
                <w:rFonts w:ascii="Arial" w:hAnsi="Arial" w:cs="Arial"/>
                <w:lang w:eastAsia="en-US"/>
              </w:rPr>
              <w:lastRenderedPageBreak/>
              <w:t xml:space="preserve">A atividade prevê a contratação de empresa </w:t>
            </w:r>
            <w:r>
              <w:rPr>
                <w:rFonts w:ascii="Arial" w:hAnsi="Arial" w:cs="Arial"/>
                <w:lang w:eastAsia="en-US"/>
              </w:rPr>
              <w:t xml:space="preserve">gerenciadora bem como de empresa de </w:t>
            </w:r>
            <w:r w:rsidRPr="00D86668">
              <w:rPr>
                <w:rFonts w:ascii="Arial" w:hAnsi="Arial" w:cs="Arial"/>
                <w:lang w:eastAsia="en-US"/>
              </w:rPr>
              <w:t xml:space="preserve">engenharia especializada para elaboração do estudo de concepção, serviços de apoio técnico, estudo ambiental, projeto básico e projeto executivo de sistemas de esgotamento sanitário dos municípios inseridos na bacia hidrográfica dos Rios </w:t>
            </w:r>
            <w:r>
              <w:rPr>
                <w:rFonts w:ascii="Arial" w:hAnsi="Arial" w:cs="Arial"/>
                <w:lang w:eastAsia="en-US"/>
              </w:rPr>
              <w:t>Pomba e Muriaé</w:t>
            </w:r>
            <w:r w:rsidRPr="00F562E2">
              <w:rPr>
                <w:rFonts w:ascii="Arial" w:hAnsi="Arial" w:cs="Arial"/>
                <w:lang w:eastAsia="en-US"/>
              </w:rPr>
              <w:t>. Ou a destinação de recursos para viabilizar a abertura de Edital de Chamamento Público com vistas à transferência de recursos da cobrança pelo uso da água na bacia para municípios que manifestarem interesse em recebê-los para a contratação de empresa especializada na elaboração de projetos de esgotamento sanitário</w:t>
            </w:r>
          </w:p>
        </w:tc>
      </w:tr>
      <w:tr w:rsidR="00F11E19" w:rsidTr="00F11E19">
        <w:tc>
          <w:tcPr>
            <w:tcW w:w="2097" w:type="dxa"/>
          </w:tcPr>
          <w:p w:rsidR="00F11E19" w:rsidRPr="00FC59AF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0D0135">
              <w:rPr>
                <w:rFonts w:ascii="Arial" w:hAnsi="Arial" w:cs="Arial"/>
                <w:b/>
              </w:rPr>
              <w:lastRenderedPageBreak/>
              <w:t>Componente</w:t>
            </w:r>
          </w:p>
        </w:tc>
        <w:tc>
          <w:tcPr>
            <w:tcW w:w="7257" w:type="dxa"/>
          </w:tcPr>
          <w:p w:rsidR="00F11E19" w:rsidRPr="00FC59AF" w:rsidRDefault="00F11E19" w:rsidP="00F11E19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0D0135">
              <w:rPr>
                <w:rFonts w:ascii="Arial" w:hAnsi="Arial" w:cs="Arial"/>
                <w:b/>
              </w:rPr>
              <w:t xml:space="preserve">Eixo </w:t>
            </w:r>
            <w:r>
              <w:rPr>
                <w:rFonts w:ascii="Arial" w:hAnsi="Arial" w:cs="Arial"/>
                <w:b/>
              </w:rPr>
              <w:t>3</w:t>
            </w:r>
            <w:r w:rsidRPr="000D0135"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Programas e Ações Estruturais</w:t>
            </w:r>
          </w:p>
        </w:tc>
      </w:tr>
      <w:tr w:rsidR="00F11E19" w:rsidTr="00F11E19">
        <w:tc>
          <w:tcPr>
            <w:tcW w:w="2097" w:type="dxa"/>
          </w:tcPr>
          <w:p w:rsidR="00F11E19" w:rsidRPr="000D0135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0D0135">
              <w:rPr>
                <w:rFonts w:ascii="Arial" w:hAnsi="Arial" w:cs="Arial"/>
                <w:b/>
              </w:rPr>
              <w:t>Subcomponente</w:t>
            </w:r>
          </w:p>
        </w:tc>
        <w:tc>
          <w:tcPr>
            <w:tcW w:w="7257" w:type="dxa"/>
          </w:tcPr>
          <w:p w:rsidR="00F11E19" w:rsidRPr="009B468D" w:rsidRDefault="00F11E19" w:rsidP="00F11E19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0D0135">
              <w:rPr>
                <w:rFonts w:ascii="Arial" w:hAnsi="Arial" w:cs="Arial"/>
                <w:b/>
              </w:rPr>
              <w:t>.1</w:t>
            </w:r>
            <w:r w:rsidRPr="000D013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Recuperação da Qualidade Ambiental</w:t>
            </w:r>
          </w:p>
        </w:tc>
      </w:tr>
      <w:tr w:rsidR="00F11E19" w:rsidTr="00F11E19">
        <w:tc>
          <w:tcPr>
            <w:tcW w:w="2097" w:type="dxa"/>
          </w:tcPr>
          <w:p w:rsidR="00F11E19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294284"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7257" w:type="dxa"/>
          </w:tcPr>
          <w:p w:rsidR="00F11E19" w:rsidRPr="00D86668" w:rsidRDefault="00F11E19" w:rsidP="00AB0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3.1.</w:t>
            </w:r>
            <w:r w:rsidR="00AB0668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4284">
              <w:rPr>
                <w:rFonts w:ascii="Arial" w:hAnsi="Arial" w:cs="Arial"/>
              </w:rPr>
              <w:t>– Proteção de Mananciais e Sustentabilidade no Uso do Solo</w:t>
            </w:r>
          </w:p>
        </w:tc>
      </w:tr>
      <w:tr w:rsidR="00F11E19" w:rsidTr="00F11E19">
        <w:tc>
          <w:tcPr>
            <w:tcW w:w="2097" w:type="dxa"/>
          </w:tcPr>
          <w:p w:rsidR="00F11E19" w:rsidRPr="000D0135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A1746C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7257" w:type="dxa"/>
          </w:tcPr>
          <w:p w:rsidR="00F11E19" w:rsidRPr="00DE2349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</w:rPr>
              <w:t>3.1.</w:t>
            </w:r>
            <w:r w:rsidR="00AB0668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.1</w:t>
            </w:r>
            <w:r w:rsidRPr="001A77C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Pr="001A77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Ações de Preservação de Áreas de Preservação Permanente (APP) e de Incentivo à Sustentabilidade no Uso da Terra</w:t>
            </w:r>
          </w:p>
          <w:p w:rsidR="001D1C10" w:rsidRPr="00D86668" w:rsidRDefault="001D1C10" w:rsidP="001D1C10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 xml:space="preserve">A atividade visa </w:t>
            </w:r>
            <w:r>
              <w:rPr>
                <w:rFonts w:ascii="Arial" w:hAnsi="Arial" w:cs="Arial"/>
              </w:rPr>
              <w:t xml:space="preserve">a </w:t>
            </w:r>
            <w:r w:rsidRPr="00D86668">
              <w:rPr>
                <w:rFonts w:ascii="Arial" w:hAnsi="Arial" w:cs="Arial"/>
              </w:rPr>
              <w:t>subsidiar iniciativas de proteção dos recursos hídricos, com base nos instrumentos normativos federai</w:t>
            </w:r>
            <w:r>
              <w:rPr>
                <w:rFonts w:ascii="Arial" w:hAnsi="Arial" w:cs="Arial"/>
              </w:rPr>
              <w:t>s voltados para a proteção das Áreas de P</w:t>
            </w:r>
            <w:r w:rsidRPr="00D86668">
              <w:rPr>
                <w:rFonts w:ascii="Arial" w:hAnsi="Arial" w:cs="Arial"/>
              </w:rPr>
              <w:t xml:space="preserve">reservação </w:t>
            </w:r>
            <w:r>
              <w:rPr>
                <w:rFonts w:ascii="Arial" w:hAnsi="Arial" w:cs="Arial"/>
              </w:rPr>
              <w:t>P</w:t>
            </w:r>
            <w:r w:rsidRPr="00D86668">
              <w:rPr>
                <w:rFonts w:ascii="Arial" w:hAnsi="Arial" w:cs="Arial"/>
              </w:rPr>
              <w:t>ermanente (APP), em especial aquelas situadas em torno de nascentes e nas margens dos cursos d’água, bem como, apoiar iniciativas que estejam de acordo com princípios e critérios de sustentabilidade no uso dos recursos naturais, especialmente aquelas que contribuam para a redução dos impactos negativos sobre a qualidade dos recursos hídricos.</w:t>
            </w:r>
          </w:p>
          <w:p w:rsidR="001D1C10" w:rsidRDefault="001D1C10" w:rsidP="001D1C10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 xml:space="preserve">Inclui o levantamento de áreas críticas e prioritárias para recomposição ou adensamento de matas ciliares e de topos de </w:t>
            </w:r>
            <w:r w:rsidRPr="00D86668">
              <w:rPr>
                <w:rFonts w:ascii="Arial" w:hAnsi="Arial" w:cs="Arial"/>
              </w:rPr>
              <w:lastRenderedPageBreak/>
              <w:t>morro, levantamento de áreas potenciais e identificação de parcerias para implantação do programa; elaboração de diagnósticos; levantamento detalhado de propriedades rurais das áreas selecionadas; elaboração de projetos específicos para unidades rurais; monitoramento de resultados na qualidade e quantidade da água além de caracterização e recuperação de nascentes e áreas degradadas.</w:t>
            </w:r>
          </w:p>
          <w:p w:rsidR="00F11E19" w:rsidRDefault="001D1C10" w:rsidP="00390184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Para o período em questão, os recursos alocados neste programa visam exclusivamente financiar as ações de saneamento rural </w:t>
            </w:r>
            <w:r w:rsidR="00390184">
              <w:rPr>
                <w:rFonts w:ascii="Arial" w:hAnsi="Arial" w:cs="Arial"/>
              </w:rPr>
              <w:t xml:space="preserve">e de recuperação de pastagens </w:t>
            </w:r>
            <w:r>
              <w:rPr>
                <w:rFonts w:ascii="Arial" w:hAnsi="Arial" w:cs="Arial"/>
              </w:rPr>
              <w:t xml:space="preserve">no contexto do Programa Mananciais / CEIVAP, já em fase de implementação na microbacia do Córrego </w:t>
            </w:r>
            <w:r w:rsidR="00390184">
              <w:rPr>
                <w:rFonts w:ascii="Arial" w:hAnsi="Arial" w:cs="Arial"/>
              </w:rPr>
              <w:t>Água Limpa</w:t>
            </w:r>
            <w:r>
              <w:rPr>
                <w:rFonts w:ascii="Arial" w:hAnsi="Arial" w:cs="Arial"/>
              </w:rPr>
              <w:t xml:space="preserve"> em </w:t>
            </w:r>
            <w:r w:rsidR="00390184">
              <w:rPr>
                <w:rFonts w:ascii="Arial" w:hAnsi="Arial" w:cs="Arial"/>
              </w:rPr>
              <w:t>Palma</w:t>
            </w:r>
            <w:r>
              <w:rPr>
                <w:rFonts w:ascii="Arial" w:hAnsi="Arial" w:cs="Arial"/>
              </w:rPr>
              <w:t>/MG.</w:t>
            </w:r>
            <w:r w:rsidR="00F11E19" w:rsidRPr="00D04FC4">
              <w:rPr>
                <w:rFonts w:ascii="Arial" w:hAnsi="Arial" w:cs="Arial"/>
              </w:rPr>
              <w:t>.</w:t>
            </w:r>
          </w:p>
        </w:tc>
      </w:tr>
    </w:tbl>
    <w:p w:rsidR="0067669F" w:rsidRDefault="0067669F" w:rsidP="009B468D">
      <w:pPr>
        <w:pStyle w:val="Recuodecorpodetexto"/>
        <w:spacing w:after="0" w:line="360" w:lineRule="auto"/>
        <w:jc w:val="both"/>
        <w:rPr>
          <w:rFonts w:ascii="Arial" w:hAnsi="Arial" w:cs="Arial"/>
        </w:rPr>
      </w:pPr>
    </w:p>
    <w:p w:rsidR="00C914E6" w:rsidRDefault="00C914E6" w:rsidP="004139E1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C914E6">
        <w:rPr>
          <w:rFonts w:ascii="Arial" w:hAnsi="Arial" w:cs="Arial"/>
        </w:rPr>
        <w:t xml:space="preserve">No que diz respeito </w:t>
      </w:r>
      <w:r w:rsidR="00A62DD5">
        <w:rPr>
          <w:rFonts w:ascii="Arial" w:hAnsi="Arial" w:cs="Arial"/>
        </w:rPr>
        <w:t>à</w:t>
      </w:r>
      <w:r w:rsidRPr="00C914E6">
        <w:rPr>
          <w:rFonts w:ascii="Arial" w:hAnsi="Arial" w:cs="Arial"/>
        </w:rPr>
        <w:t xml:space="preserve"> implementação das ações contidas no </w:t>
      </w:r>
      <w:r>
        <w:rPr>
          <w:rFonts w:ascii="Arial" w:hAnsi="Arial" w:cs="Arial"/>
        </w:rPr>
        <w:t>Plano de Aplicação Plurianual do COMPÉ, os custos para realização das atividades</w:t>
      </w:r>
      <w:r w:rsidRPr="00C914E6">
        <w:rPr>
          <w:rFonts w:ascii="Arial" w:hAnsi="Arial" w:cs="Arial"/>
        </w:rPr>
        <w:t>, projeto</w:t>
      </w:r>
      <w:r>
        <w:rPr>
          <w:rFonts w:ascii="Arial" w:hAnsi="Arial" w:cs="Arial"/>
        </w:rPr>
        <w:t>s</w:t>
      </w:r>
      <w:r w:rsidRPr="00C914E6">
        <w:rPr>
          <w:rFonts w:ascii="Arial" w:hAnsi="Arial" w:cs="Arial"/>
        </w:rPr>
        <w:t>, estudo</w:t>
      </w:r>
      <w:r>
        <w:rPr>
          <w:rFonts w:ascii="Arial" w:hAnsi="Arial" w:cs="Arial"/>
        </w:rPr>
        <w:t>s</w:t>
      </w:r>
      <w:r w:rsidRPr="00C914E6">
        <w:rPr>
          <w:rFonts w:ascii="Arial" w:hAnsi="Arial" w:cs="Arial"/>
        </w:rPr>
        <w:t xml:space="preserve"> e obras deverão </w:t>
      </w:r>
      <w:r w:rsidR="00A62DD5">
        <w:rPr>
          <w:rFonts w:ascii="Arial" w:hAnsi="Arial" w:cs="Arial"/>
        </w:rPr>
        <w:t>estar</w:t>
      </w:r>
      <w:r w:rsidRPr="00C914E6">
        <w:rPr>
          <w:rFonts w:ascii="Arial" w:hAnsi="Arial" w:cs="Arial"/>
        </w:rPr>
        <w:t xml:space="preserve"> compreendidos </w:t>
      </w:r>
      <w:r w:rsidR="00A62DD5">
        <w:rPr>
          <w:rFonts w:ascii="Arial" w:hAnsi="Arial" w:cs="Arial"/>
        </w:rPr>
        <w:t>na</w:t>
      </w:r>
      <w:r w:rsidRPr="00C914E6">
        <w:rPr>
          <w:rFonts w:ascii="Arial" w:hAnsi="Arial" w:cs="Arial"/>
        </w:rPr>
        <w:t xml:space="preserve"> parcela de investimento</w:t>
      </w:r>
      <w:r w:rsidR="007F7DF6">
        <w:rPr>
          <w:rFonts w:ascii="Arial" w:hAnsi="Arial" w:cs="Arial"/>
        </w:rPr>
        <w:t xml:space="preserve">. </w:t>
      </w:r>
      <w:r w:rsidR="007F7DF6" w:rsidRPr="00F60FCA">
        <w:rPr>
          <w:rFonts w:ascii="Arial" w:hAnsi="Arial" w:cs="Arial"/>
        </w:rPr>
        <w:t>Exceto</w:t>
      </w:r>
      <w:r w:rsidR="00F60FCA" w:rsidRPr="00F60FCA">
        <w:rPr>
          <w:rFonts w:ascii="Arial" w:hAnsi="Arial" w:cs="Arial"/>
        </w:rPr>
        <w:t xml:space="preserve"> </w:t>
      </w:r>
      <w:r w:rsidRPr="00F60FCA">
        <w:rPr>
          <w:rFonts w:ascii="Arial" w:hAnsi="Arial" w:cs="Arial"/>
        </w:rPr>
        <w:t xml:space="preserve">o custo </w:t>
      </w:r>
      <w:r w:rsidRPr="00C914E6">
        <w:rPr>
          <w:rFonts w:ascii="Arial" w:hAnsi="Arial" w:cs="Arial"/>
        </w:rPr>
        <w:t xml:space="preserve">da Entidade Equiparada </w:t>
      </w:r>
      <w:r>
        <w:rPr>
          <w:rFonts w:ascii="Arial" w:hAnsi="Arial" w:cs="Arial"/>
        </w:rPr>
        <w:t>à Agência de Bacia.</w:t>
      </w:r>
    </w:p>
    <w:p w:rsidR="00AD30ED" w:rsidRPr="00DE2349" w:rsidRDefault="00AD30ED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>DO CUSTEIO</w:t>
      </w:r>
    </w:p>
    <w:p w:rsidR="00AD30ED" w:rsidRDefault="00AD30ED" w:rsidP="009D12B8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O custeio da </w:t>
      </w:r>
      <w:r w:rsidR="009D12B8">
        <w:rPr>
          <w:rFonts w:ascii="Arial" w:hAnsi="Arial" w:cs="Arial"/>
        </w:rPr>
        <w:t>Entidade Equiparada à Agência de Bacia</w:t>
      </w:r>
      <w:r w:rsidRPr="00DE2349">
        <w:rPr>
          <w:rFonts w:ascii="Arial" w:hAnsi="Arial" w:cs="Arial"/>
        </w:rPr>
        <w:t xml:space="preserve"> engloba as despesas com pessoal, incluindo encargos e benefícios</w:t>
      </w:r>
      <w:r w:rsidR="00F24DEC" w:rsidRPr="00DE2349">
        <w:rPr>
          <w:rFonts w:ascii="Arial" w:hAnsi="Arial" w:cs="Arial"/>
        </w:rPr>
        <w:t>,</w:t>
      </w:r>
      <w:r w:rsidRPr="00DE2349">
        <w:rPr>
          <w:rFonts w:ascii="Arial" w:hAnsi="Arial" w:cs="Arial"/>
        </w:rPr>
        <w:t xml:space="preserve"> dentre outras</w:t>
      </w:r>
      <w:r w:rsidR="00DF6F41" w:rsidRPr="00DE2349">
        <w:rPr>
          <w:rFonts w:ascii="Arial" w:hAnsi="Arial" w:cs="Arial"/>
        </w:rPr>
        <w:t>,</w:t>
      </w:r>
      <w:r w:rsidR="009D12B8">
        <w:rPr>
          <w:rFonts w:ascii="Arial" w:hAnsi="Arial" w:cs="Arial"/>
        </w:rPr>
        <w:t xml:space="preserve"> previstas para seu funcionamento</w:t>
      </w:r>
      <w:r w:rsidRPr="00DE2349">
        <w:rPr>
          <w:rFonts w:ascii="Arial" w:hAnsi="Arial" w:cs="Arial"/>
        </w:rPr>
        <w:t xml:space="preserve"> e es</w:t>
      </w:r>
      <w:r w:rsidR="001D6911">
        <w:rPr>
          <w:rFonts w:ascii="Arial" w:hAnsi="Arial" w:cs="Arial"/>
        </w:rPr>
        <w:t>tão em conformidade com a Lei n</w:t>
      </w:r>
      <w:r w:rsidRPr="00DE2349">
        <w:rPr>
          <w:rFonts w:ascii="Arial" w:hAnsi="Arial" w:cs="Arial"/>
        </w:rPr>
        <w:t xml:space="preserve">º 9.433, de 8 de janeiro de 1997 e com a Lei Estadual nº. 13.199, de 29 de </w:t>
      </w:r>
      <w:r w:rsidR="009B468D" w:rsidRPr="00DE2349">
        <w:rPr>
          <w:rFonts w:ascii="Arial" w:hAnsi="Arial" w:cs="Arial"/>
        </w:rPr>
        <w:t>janeiro</w:t>
      </w:r>
      <w:r w:rsidRPr="00DE2349">
        <w:rPr>
          <w:rFonts w:ascii="Arial" w:hAnsi="Arial" w:cs="Arial"/>
        </w:rPr>
        <w:t xml:space="preserve"> de 1999.</w:t>
      </w:r>
    </w:p>
    <w:p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>DAS DISPOSIÇÕES FINAIS</w:t>
      </w:r>
    </w:p>
    <w:p w:rsidR="005857A0" w:rsidRPr="00DE2349" w:rsidRDefault="005857A0" w:rsidP="009D12B8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Para fins de avaliar a eficiência e eficácia da execução do Plano </w:t>
      </w:r>
      <w:r w:rsidR="009D12B8" w:rsidRPr="009D12B8">
        <w:rPr>
          <w:rFonts w:ascii="Arial" w:hAnsi="Arial" w:cs="Arial"/>
        </w:rPr>
        <w:t xml:space="preserve">de Aplicação </w:t>
      </w:r>
      <w:r w:rsidRPr="00DE2349">
        <w:rPr>
          <w:rFonts w:ascii="Arial" w:hAnsi="Arial" w:cs="Arial"/>
        </w:rPr>
        <w:t>Plurianual</w:t>
      </w:r>
      <w:r w:rsidR="00DF6F41" w:rsidRPr="00DE2349">
        <w:rPr>
          <w:rFonts w:ascii="Arial" w:hAnsi="Arial" w:cs="Arial"/>
        </w:rPr>
        <w:t>,</w:t>
      </w:r>
      <w:r w:rsidR="009770DD" w:rsidRPr="00DE2349">
        <w:rPr>
          <w:rFonts w:ascii="Arial" w:hAnsi="Arial" w:cs="Arial"/>
        </w:rPr>
        <w:t xml:space="preserve"> </w:t>
      </w:r>
      <w:r w:rsidRPr="00DE2349">
        <w:rPr>
          <w:rFonts w:ascii="Arial" w:hAnsi="Arial" w:cs="Arial"/>
        </w:rPr>
        <w:t>serão elaborados relatórios anuais de acompanh</w:t>
      </w:r>
      <w:r w:rsidR="009D12B8">
        <w:rPr>
          <w:rFonts w:ascii="Arial" w:hAnsi="Arial" w:cs="Arial"/>
        </w:rPr>
        <w:t>amento, conforme estabelecido em</w:t>
      </w:r>
      <w:r w:rsidRPr="00DE2349">
        <w:rPr>
          <w:rFonts w:ascii="Arial" w:hAnsi="Arial" w:cs="Arial"/>
        </w:rPr>
        <w:t xml:space="preserve"> Contrato de Gestão. Revisões ou atualizações decorrentes da aplicação dos recur</w:t>
      </w:r>
      <w:r w:rsidR="009770DD" w:rsidRPr="00DE2349">
        <w:rPr>
          <w:rFonts w:ascii="Arial" w:hAnsi="Arial" w:cs="Arial"/>
        </w:rPr>
        <w:t>sos que se fizerem necessárias</w:t>
      </w:r>
      <w:r w:rsidRPr="00DE2349">
        <w:rPr>
          <w:rFonts w:ascii="Arial" w:hAnsi="Arial" w:cs="Arial"/>
        </w:rPr>
        <w:t xml:space="preserve"> p</w:t>
      </w:r>
      <w:r w:rsidR="009770DD" w:rsidRPr="00DE2349">
        <w:rPr>
          <w:rFonts w:ascii="Arial" w:hAnsi="Arial" w:cs="Arial"/>
        </w:rPr>
        <w:t>oderão ser efetuadas anualmente</w:t>
      </w:r>
      <w:r w:rsidRPr="00DE2349">
        <w:rPr>
          <w:rFonts w:ascii="Arial" w:hAnsi="Arial" w:cs="Arial"/>
        </w:rPr>
        <w:t xml:space="preserve"> com aprovação do </w:t>
      </w:r>
      <w:r w:rsidR="001A4DDA">
        <w:rPr>
          <w:rFonts w:ascii="Arial" w:hAnsi="Arial" w:cs="Arial"/>
        </w:rPr>
        <w:t>CBH Pomba e Muriaé – PS2</w:t>
      </w:r>
      <w:r w:rsidR="009770DD" w:rsidRPr="00DE2349">
        <w:rPr>
          <w:rFonts w:ascii="Arial" w:hAnsi="Arial" w:cs="Arial"/>
        </w:rPr>
        <w:t>.</w:t>
      </w:r>
    </w:p>
    <w:p w:rsidR="005857A0" w:rsidRPr="00DE2349" w:rsidRDefault="005857A0" w:rsidP="005D5ADA">
      <w:pPr>
        <w:spacing w:after="240" w:line="360" w:lineRule="auto"/>
        <w:rPr>
          <w:rFonts w:ascii="Arial" w:hAnsi="Arial" w:cs="Arial"/>
        </w:rPr>
      </w:pPr>
    </w:p>
    <w:p w:rsidR="005857A0" w:rsidRPr="00DE2349" w:rsidRDefault="005857A0" w:rsidP="00353F23">
      <w:pPr>
        <w:tabs>
          <w:tab w:val="left" w:pos="5580"/>
        </w:tabs>
        <w:rPr>
          <w:rFonts w:ascii="Arial" w:hAnsi="Arial" w:cs="Arial"/>
        </w:rPr>
        <w:sectPr w:rsidR="005857A0" w:rsidRPr="00DE2349" w:rsidSect="00DF4BAC">
          <w:headerReference w:type="default" r:id="rId12"/>
          <w:footerReference w:type="default" r:id="rId13"/>
          <w:pgSz w:w="11906" w:h="16838"/>
          <w:pgMar w:top="1687" w:right="1134" w:bottom="1418" w:left="1418" w:header="284" w:footer="267" w:gutter="0"/>
          <w:pgNumType w:start="1"/>
          <w:cols w:space="708"/>
          <w:docGrid w:linePitch="360"/>
        </w:sectPr>
      </w:pPr>
    </w:p>
    <w:p w:rsidR="005857A0" w:rsidRPr="00DE2349" w:rsidRDefault="005857A0" w:rsidP="007C4FE5">
      <w:pPr>
        <w:tabs>
          <w:tab w:val="left" w:pos="709"/>
        </w:tabs>
        <w:spacing w:after="120"/>
        <w:jc w:val="center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lastRenderedPageBreak/>
        <w:t>ANEXO II</w:t>
      </w:r>
    </w:p>
    <w:p w:rsidR="005269BF" w:rsidRPr="007C4FE5" w:rsidRDefault="005269BF" w:rsidP="007C4FE5">
      <w:pPr>
        <w:tabs>
          <w:tab w:val="left" w:pos="5580"/>
        </w:tabs>
        <w:ind w:left="-426"/>
        <w:jc w:val="center"/>
        <w:rPr>
          <w:rFonts w:ascii="Arial" w:hAnsi="Arial" w:cs="Arial"/>
          <w:szCs w:val="12"/>
        </w:rPr>
      </w:pPr>
    </w:p>
    <w:sectPr w:rsidR="005269BF" w:rsidRPr="007C4FE5" w:rsidSect="007C4FE5">
      <w:headerReference w:type="even" r:id="rId14"/>
      <w:headerReference w:type="default" r:id="rId15"/>
      <w:headerReference w:type="first" r:id="rId16"/>
      <w:pgSz w:w="16838" w:h="11906" w:orient="landscape"/>
      <w:pgMar w:top="203" w:right="820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ECC" w:rsidRDefault="00530ECC">
      <w:r>
        <w:separator/>
      </w:r>
    </w:p>
  </w:endnote>
  <w:endnote w:type="continuationSeparator" w:id="0">
    <w:p w:rsidR="00530ECC" w:rsidRDefault="0053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7DB" w:rsidRDefault="009827DB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1C23">
      <w:rPr>
        <w:noProof/>
      </w:rPr>
      <w:t>6</w:t>
    </w:r>
    <w:r>
      <w:rPr>
        <w:noProof/>
      </w:rPr>
      <w:fldChar w:fldCharType="end"/>
    </w:r>
  </w:p>
  <w:p w:rsidR="009827DB" w:rsidRDefault="009827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ECC" w:rsidRDefault="00530ECC">
      <w:r>
        <w:separator/>
      </w:r>
    </w:p>
  </w:footnote>
  <w:footnote w:type="continuationSeparator" w:id="0">
    <w:p w:rsidR="00530ECC" w:rsidRDefault="0053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7DB" w:rsidRDefault="009827DB">
    <w:pPr>
      <w:pStyle w:val="Cabealho"/>
    </w:pPr>
  </w:p>
  <w:tbl>
    <w:tblPr>
      <w:tblStyle w:val="Tabelacomgrade"/>
      <w:tblW w:w="10060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32"/>
      <w:gridCol w:w="3528"/>
    </w:tblGrid>
    <w:tr w:rsidR="00357290" w:rsidTr="00357290">
      <w:tc>
        <w:tcPr>
          <w:tcW w:w="6532" w:type="dxa"/>
        </w:tcPr>
        <w:p w:rsidR="00357290" w:rsidRDefault="00357290" w:rsidP="00357290">
          <w:pPr>
            <w:pStyle w:val="Cabealho"/>
            <w:jc w:val="center"/>
            <w:rPr>
              <w:b/>
              <w:szCs w:val="28"/>
            </w:rPr>
          </w:pPr>
        </w:p>
        <w:p w:rsidR="00357290" w:rsidRDefault="00357290" w:rsidP="00357290">
          <w:pPr>
            <w:pStyle w:val="Cabealho"/>
            <w:jc w:val="center"/>
            <w:rPr>
              <w:b/>
              <w:szCs w:val="28"/>
            </w:rPr>
          </w:pPr>
          <w:r w:rsidRPr="00357290">
            <w:rPr>
              <w:b/>
              <w:szCs w:val="28"/>
            </w:rPr>
            <w:t>COMITÊ DA BACIA HIDROGRÁFICA DOS AFLUENTES MINEIROS DOS RIOS POMBA E MURIAÉ – COMPÉ</w:t>
          </w:r>
        </w:p>
      </w:tc>
      <w:tc>
        <w:tcPr>
          <w:tcW w:w="3528" w:type="dxa"/>
        </w:tcPr>
        <w:p w:rsidR="00357290" w:rsidRDefault="00357290" w:rsidP="00357290">
          <w:pPr>
            <w:pStyle w:val="Cabealho"/>
            <w:jc w:val="center"/>
            <w:rPr>
              <w:b/>
              <w:szCs w:val="28"/>
            </w:rPr>
          </w:pPr>
          <w:r>
            <w:rPr>
              <w:noProof/>
            </w:rPr>
            <w:drawing>
              <wp:inline distT="0" distB="0" distL="0" distR="0" wp14:anchorId="63C30EA4" wp14:editId="4D1589C9">
                <wp:extent cx="1828800" cy="723900"/>
                <wp:effectExtent l="0" t="0" r="0" b="0"/>
                <wp:docPr id="8" name="Imagem 8" descr="Logo COMPE ti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OMPE ti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57290" w:rsidRDefault="009827DB" w:rsidP="00357290">
    <w:pPr>
      <w:pStyle w:val="Cabealho"/>
      <w:jc w:val="right"/>
    </w:pPr>
    <w:r w:rsidRPr="005D5ADA">
      <w:rPr>
        <w:b/>
        <w:szCs w:val="28"/>
      </w:rPr>
      <w:t xml:space="preserve"> </w:t>
    </w:r>
    <w:r>
      <w:rPr>
        <w:b/>
        <w:szCs w:val="28"/>
      </w:rPr>
      <w:t xml:space="preserve">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7DB" w:rsidRDefault="009827D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7DB" w:rsidRDefault="009827DB" w:rsidP="001561EC">
    <w:pPr>
      <w:pStyle w:val="Cabealho"/>
      <w:ind w:left="-1620"/>
    </w:pPr>
  </w:p>
  <w:p w:rsidR="009827DB" w:rsidRDefault="009827DB" w:rsidP="007C4FE5">
    <w:pPr>
      <w:pStyle w:val="Cabealho"/>
      <w:tabs>
        <w:tab w:val="clear" w:pos="4252"/>
        <w:tab w:val="clear" w:pos="8504"/>
        <w:tab w:val="left" w:pos="7665"/>
      </w:tabs>
      <w:ind w:left="-1620"/>
    </w:pPr>
    <w:r>
      <w:t xml:space="preserve">     </w:t>
    </w:r>
    <w:r>
      <w:tab/>
    </w:r>
  </w:p>
  <w:p w:rsidR="009827DB" w:rsidRDefault="009827DB" w:rsidP="00F32487">
    <w:pPr>
      <w:pStyle w:val="Cabealho"/>
      <w:tabs>
        <w:tab w:val="clear" w:pos="4252"/>
        <w:tab w:val="clear" w:pos="8504"/>
        <w:tab w:val="center" w:pos="3442"/>
      </w:tabs>
      <w:ind w:left="-1620"/>
      <w:jc w:val="both"/>
    </w:pPr>
    <w:r w:rsidRPr="00C3067A">
      <w:rPr>
        <w:sz w:val="22"/>
        <w:szCs w:val="22"/>
      </w:rPr>
      <w:t xml:space="preserve">    </w:t>
    </w:r>
    <w:r>
      <w:rPr>
        <w:sz w:val="22"/>
        <w:szCs w:val="22"/>
      </w:rPr>
      <w:t xml:space="preserve">             </w: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7DB" w:rsidRDefault="009827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218B"/>
    <w:multiLevelType w:val="hybridMultilevel"/>
    <w:tmpl w:val="389E7336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386E27"/>
    <w:multiLevelType w:val="multilevel"/>
    <w:tmpl w:val="18A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4273E"/>
    <w:multiLevelType w:val="multilevel"/>
    <w:tmpl w:val="8D0CB0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6FD2101"/>
    <w:multiLevelType w:val="hybridMultilevel"/>
    <w:tmpl w:val="951AAA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D4695"/>
    <w:multiLevelType w:val="hybridMultilevel"/>
    <w:tmpl w:val="EC4004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10136"/>
    <w:multiLevelType w:val="multilevel"/>
    <w:tmpl w:val="5C60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4060D"/>
    <w:multiLevelType w:val="multilevel"/>
    <w:tmpl w:val="C4A4701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2B093EFE"/>
    <w:multiLevelType w:val="multilevel"/>
    <w:tmpl w:val="AB54400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8" w15:restartNumberingAfterBreak="0">
    <w:nsid w:val="2CC835DD"/>
    <w:multiLevelType w:val="multilevel"/>
    <w:tmpl w:val="C4A4701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30153F83"/>
    <w:multiLevelType w:val="multilevel"/>
    <w:tmpl w:val="62EE9BD4"/>
    <w:lvl w:ilvl="0">
      <w:start w:val="1"/>
      <w:numFmt w:val="upperRoman"/>
      <w:lvlText w:val="%1."/>
      <w:lvlJc w:val="left"/>
      <w:pPr>
        <w:ind w:left="1400" w:hanging="360"/>
      </w:pPr>
      <w:rPr>
        <w:rFonts w:ascii="Calibri" w:hAnsi="Calibri" w:cs="Calibr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ascii="Arial" w:hAnsi="Arial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1800"/>
      </w:pPr>
      <w:rPr>
        <w:rFonts w:hint="default"/>
      </w:rPr>
    </w:lvl>
  </w:abstractNum>
  <w:abstractNum w:abstractNumId="10" w15:restartNumberingAfterBreak="0">
    <w:nsid w:val="345A24C7"/>
    <w:multiLevelType w:val="multilevel"/>
    <w:tmpl w:val="334A2D56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FF2D69"/>
    <w:multiLevelType w:val="multilevel"/>
    <w:tmpl w:val="1D9071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91A668C"/>
    <w:multiLevelType w:val="hybridMultilevel"/>
    <w:tmpl w:val="A9023C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A0D32"/>
    <w:multiLevelType w:val="multilevel"/>
    <w:tmpl w:val="DCD0D98A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E7C5FB7"/>
    <w:multiLevelType w:val="multilevel"/>
    <w:tmpl w:val="74043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401B08A3"/>
    <w:multiLevelType w:val="hybridMultilevel"/>
    <w:tmpl w:val="25988B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A53A3"/>
    <w:multiLevelType w:val="hybridMultilevel"/>
    <w:tmpl w:val="B0E4A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7245B"/>
    <w:multiLevelType w:val="hybridMultilevel"/>
    <w:tmpl w:val="70803AE6"/>
    <w:lvl w:ilvl="0" w:tplc="91225D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B1BDF"/>
    <w:multiLevelType w:val="multilevel"/>
    <w:tmpl w:val="FF786C60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7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1" w15:restartNumberingAfterBreak="0">
    <w:nsid w:val="5E1F050E"/>
    <w:multiLevelType w:val="hybridMultilevel"/>
    <w:tmpl w:val="22127B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61F10"/>
    <w:multiLevelType w:val="hybridMultilevel"/>
    <w:tmpl w:val="BD142938"/>
    <w:lvl w:ilvl="0" w:tplc="5FA496B0">
      <w:start w:val="1"/>
      <w:numFmt w:val="bullet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3" w15:restartNumberingAfterBreak="0">
    <w:nsid w:val="640611B1"/>
    <w:multiLevelType w:val="multilevel"/>
    <w:tmpl w:val="74043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64E90C71"/>
    <w:multiLevelType w:val="multilevel"/>
    <w:tmpl w:val="02C8172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6A19165B"/>
    <w:multiLevelType w:val="multilevel"/>
    <w:tmpl w:val="A5F8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356418"/>
    <w:multiLevelType w:val="hybridMultilevel"/>
    <w:tmpl w:val="5108FE60"/>
    <w:lvl w:ilvl="0" w:tplc="5FA496B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749674CC"/>
    <w:multiLevelType w:val="hybridMultilevel"/>
    <w:tmpl w:val="EC04D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847ED"/>
    <w:multiLevelType w:val="multilevel"/>
    <w:tmpl w:val="47BA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A361F"/>
    <w:multiLevelType w:val="multilevel"/>
    <w:tmpl w:val="EDBAC16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num w:numId="1">
    <w:abstractNumId w:val="28"/>
  </w:num>
  <w:num w:numId="2">
    <w:abstractNumId w:val="19"/>
  </w:num>
  <w:num w:numId="3">
    <w:abstractNumId w:val="31"/>
  </w:num>
  <w:num w:numId="4">
    <w:abstractNumId w:val="18"/>
  </w:num>
  <w:num w:numId="5">
    <w:abstractNumId w:val="3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20"/>
  </w:num>
  <w:num w:numId="10">
    <w:abstractNumId w:val="21"/>
  </w:num>
  <w:num w:numId="11">
    <w:abstractNumId w:val="4"/>
  </w:num>
  <w:num w:numId="12">
    <w:abstractNumId w:val="3"/>
  </w:num>
  <w:num w:numId="13">
    <w:abstractNumId w:val="12"/>
  </w:num>
  <w:num w:numId="14">
    <w:abstractNumId w:val="15"/>
  </w:num>
  <w:num w:numId="15">
    <w:abstractNumId w:val="16"/>
  </w:num>
  <w:num w:numId="16">
    <w:abstractNumId w:val="0"/>
  </w:num>
  <w:num w:numId="17">
    <w:abstractNumId w:val="13"/>
  </w:num>
  <w:num w:numId="18">
    <w:abstractNumId w:val="6"/>
  </w:num>
  <w:num w:numId="19">
    <w:abstractNumId w:val="32"/>
  </w:num>
  <w:num w:numId="20">
    <w:abstractNumId w:val="5"/>
  </w:num>
  <w:num w:numId="21">
    <w:abstractNumId w:val="29"/>
  </w:num>
  <w:num w:numId="22">
    <w:abstractNumId w:val="25"/>
  </w:num>
  <w:num w:numId="23">
    <w:abstractNumId w:val="1"/>
  </w:num>
  <w:num w:numId="24">
    <w:abstractNumId w:val="14"/>
  </w:num>
  <w:num w:numId="25">
    <w:abstractNumId w:val="23"/>
  </w:num>
  <w:num w:numId="26">
    <w:abstractNumId w:val="2"/>
  </w:num>
  <w:num w:numId="27">
    <w:abstractNumId w:val="7"/>
  </w:num>
  <w:num w:numId="28">
    <w:abstractNumId w:val="8"/>
  </w:num>
  <w:num w:numId="29">
    <w:abstractNumId w:val="24"/>
  </w:num>
  <w:num w:numId="30">
    <w:abstractNumId w:val="22"/>
  </w:num>
  <w:num w:numId="31">
    <w:abstractNumId w:val="26"/>
  </w:num>
  <w:num w:numId="32">
    <w:abstractNumId w:val="10"/>
  </w:num>
  <w:num w:numId="33">
    <w:abstractNumId w:val="27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1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11F3"/>
    <w:rsid w:val="00002DAE"/>
    <w:rsid w:val="00003592"/>
    <w:rsid w:val="0000518E"/>
    <w:rsid w:val="00005C18"/>
    <w:rsid w:val="00006FEA"/>
    <w:rsid w:val="000128EB"/>
    <w:rsid w:val="000143BE"/>
    <w:rsid w:val="000143DE"/>
    <w:rsid w:val="00016FCA"/>
    <w:rsid w:val="0002537E"/>
    <w:rsid w:val="00026AED"/>
    <w:rsid w:val="00035251"/>
    <w:rsid w:val="00041501"/>
    <w:rsid w:val="000416AB"/>
    <w:rsid w:val="000451ED"/>
    <w:rsid w:val="00056272"/>
    <w:rsid w:val="0005770A"/>
    <w:rsid w:val="00063E80"/>
    <w:rsid w:val="00064075"/>
    <w:rsid w:val="00065D0E"/>
    <w:rsid w:val="00066475"/>
    <w:rsid w:val="000702CE"/>
    <w:rsid w:val="000707E1"/>
    <w:rsid w:val="00076E8C"/>
    <w:rsid w:val="00083151"/>
    <w:rsid w:val="00083881"/>
    <w:rsid w:val="00084B89"/>
    <w:rsid w:val="00084E92"/>
    <w:rsid w:val="00097488"/>
    <w:rsid w:val="000A2220"/>
    <w:rsid w:val="000B56C4"/>
    <w:rsid w:val="000C4E12"/>
    <w:rsid w:val="000C7EAE"/>
    <w:rsid w:val="000D0135"/>
    <w:rsid w:val="000D30AF"/>
    <w:rsid w:val="000D3780"/>
    <w:rsid w:val="000D4B9C"/>
    <w:rsid w:val="000D506E"/>
    <w:rsid w:val="000E3CCE"/>
    <w:rsid w:val="000F4902"/>
    <w:rsid w:val="000F4DC5"/>
    <w:rsid w:val="00106544"/>
    <w:rsid w:val="00116F93"/>
    <w:rsid w:val="0012306B"/>
    <w:rsid w:val="00125F55"/>
    <w:rsid w:val="00134519"/>
    <w:rsid w:val="00140C44"/>
    <w:rsid w:val="00142546"/>
    <w:rsid w:val="001428E2"/>
    <w:rsid w:val="001462FA"/>
    <w:rsid w:val="001475D8"/>
    <w:rsid w:val="00150CAD"/>
    <w:rsid w:val="001561EC"/>
    <w:rsid w:val="00160AD0"/>
    <w:rsid w:val="001718F1"/>
    <w:rsid w:val="00182601"/>
    <w:rsid w:val="00184ADD"/>
    <w:rsid w:val="00192315"/>
    <w:rsid w:val="00194055"/>
    <w:rsid w:val="00195F16"/>
    <w:rsid w:val="00196350"/>
    <w:rsid w:val="001A4DDA"/>
    <w:rsid w:val="001A77CD"/>
    <w:rsid w:val="001B1760"/>
    <w:rsid w:val="001B3F29"/>
    <w:rsid w:val="001C329E"/>
    <w:rsid w:val="001C6E0E"/>
    <w:rsid w:val="001D05F9"/>
    <w:rsid w:val="001D1C10"/>
    <w:rsid w:val="001D6911"/>
    <w:rsid w:val="001F2A90"/>
    <w:rsid w:val="002003EC"/>
    <w:rsid w:val="00200443"/>
    <w:rsid w:val="002004C8"/>
    <w:rsid w:val="00203D9C"/>
    <w:rsid w:val="00205F3A"/>
    <w:rsid w:val="00206204"/>
    <w:rsid w:val="00210687"/>
    <w:rsid w:val="002106A5"/>
    <w:rsid w:val="00214B91"/>
    <w:rsid w:val="0021508C"/>
    <w:rsid w:val="00222AE4"/>
    <w:rsid w:val="00223A8B"/>
    <w:rsid w:val="002244BF"/>
    <w:rsid w:val="0023219D"/>
    <w:rsid w:val="00236FE3"/>
    <w:rsid w:val="00237025"/>
    <w:rsid w:val="00241519"/>
    <w:rsid w:val="00251E82"/>
    <w:rsid w:val="00254A85"/>
    <w:rsid w:val="00261B70"/>
    <w:rsid w:val="0026354A"/>
    <w:rsid w:val="002713A7"/>
    <w:rsid w:val="00271D59"/>
    <w:rsid w:val="00274A72"/>
    <w:rsid w:val="00276779"/>
    <w:rsid w:val="00277A4C"/>
    <w:rsid w:val="00282797"/>
    <w:rsid w:val="0028763D"/>
    <w:rsid w:val="00287E66"/>
    <w:rsid w:val="002A1169"/>
    <w:rsid w:val="002A74E1"/>
    <w:rsid w:val="002B724D"/>
    <w:rsid w:val="002C0652"/>
    <w:rsid w:val="002C13BD"/>
    <w:rsid w:val="002C3D22"/>
    <w:rsid w:val="002D385A"/>
    <w:rsid w:val="002D4E52"/>
    <w:rsid w:val="002E20E8"/>
    <w:rsid w:val="002E3B4C"/>
    <w:rsid w:val="002E4BD3"/>
    <w:rsid w:val="002E78BA"/>
    <w:rsid w:val="002F0969"/>
    <w:rsid w:val="002F5FAF"/>
    <w:rsid w:val="003014E6"/>
    <w:rsid w:val="00302C47"/>
    <w:rsid w:val="00303AB7"/>
    <w:rsid w:val="00312333"/>
    <w:rsid w:val="00316550"/>
    <w:rsid w:val="00324FA6"/>
    <w:rsid w:val="0033197A"/>
    <w:rsid w:val="003374B4"/>
    <w:rsid w:val="00337D69"/>
    <w:rsid w:val="0034058B"/>
    <w:rsid w:val="00345294"/>
    <w:rsid w:val="00346EBD"/>
    <w:rsid w:val="00347E9E"/>
    <w:rsid w:val="00353F23"/>
    <w:rsid w:val="003555D5"/>
    <w:rsid w:val="003571D1"/>
    <w:rsid w:val="00357290"/>
    <w:rsid w:val="00360D40"/>
    <w:rsid w:val="00361140"/>
    <w:rsid w:val="003744D2"/>
    <w:rsid w:val="00381BFF"/>
    <w:rsid w:val="00383023"/>
    <w:rsid w:val="003863D8"/>
    <w:rsid w:val="00390184"/>
    <w:rsid w:val="00391315"/>
    <w:rsid w:val="003A1B30"/>
    <w:rsid w:val="003A2A97"/>
    <w:rsid w:val="003B0652"/>
    <w:rsid w:val="003B59C2"/>
    <w:rsid w:val="003C3418"/>
    <w:rsid w:val="003C540D"/>
    <w:rsid w:val="003C7195"/>
    <w:rsid w:val="003D2A3F"/>
    <w:rsid w:val="003D57DB"/>
    <w:rsid w:val="003D77E3"/>
    <w:rsid w:val="003E3114"/>
    <w:rsid w:val="003E6644"/>
    <w:rsid w:val="003F2A42"/>
    <w:rsid w:val="003F3EDF"/>
    <w:rsid w:val="003F6AB8"/>
    <w:rsid w:val="00403893"/>
    <w:rsid w:val="00406DE6"/>
    <w:rsid w:val="004076B4"/>
    <w:rsid w:val="004139E1"/>
    <w:rsid w:val="00421435"/>
    <w:rsid w:val="00427434"/>
    <w:rsid w:val="004413FC"/>
    <w:rsid w:val="00442611"/>
    <w:rsid w:val="004507B5"/>
    <w:rsid w:val="0045258D"/>
    <w:rsid w:val="00453FF5"/>
    <w:rsid w:val="004540CD"/>
    <w:rsid w:val="004559A3"/>
    <w:rsid w:val="00466D04"/>
    <w:rsid w:val="00471FFD"/>
    <w:rsid w:val="004735FA"/>
    <w:rsid w:val="0048055B"/>
    <w:rsid w:val="004824D6"/>
    <w:rsid w:val="00482623"/>
    <w:rsid w:val="00484FFA"/>
    <w:rsid w:val="004868C8"/>
    <w:rsid w:val="00487606"/>
    <w:rsid w:val="004879E4"/>
    <w:rsid w:val="00495658"/>
    <w:rsid w:val="004A153C"/>
    <w:rsid w:val="004B072D"/>
    <w:rsid w:val="004B3942"/>
    <w:rsid w:val="004B6090"/>
    <w:rsid w:val="004B6244"/>
    <w:rsid w:val="004B6981"/>
    <w:rsid w:val="004C30A0"/>
    <w:rsid w:val="004C41E5"/>
    <w:rsid w:val="004C6360"/>
    <w:rsid w:val="004C7933"/>
    <w:rsid w:val="004D2E3E"/>
    <w:rsid w:val="004D4E85"/>
    <w:rsid w:val="004E4507"/>
    <w:rsid w:val="004E6EBF"/>
    <w:rsid w:val="004F1687"/>
    <w:rsid w:val="004F701A"/>
    <w:rsid w:val="0050404E"/>
    <w:rsid w:val="00504F2B"/>
    <w:rsid w:val="0050749A"/>
    <w:rsid w:val="00515C8E"/>
    <w:rsid w:val="0052026D"/>
    <w:rsid w:val="00521863"/>
    <w:rsid w:val="005260A9"/>
    <w:rsid w:val="005269BF"/>
    <w:rsid w:val="00527259"/>
    <w:rsid w:val="00530ECC"/>
    <w:rsid w:val="0053175D"/>
    <w:rsid w:val="005351AF"/>
    <w:rsid w:val="00535777"/>
    <w:rsid w:val="00536C50"/>
    <w:rsid w:val="0054004C"/>
    <w:rsid w:val="0054237E"/>
    <w:rsid w:val="00545186"/>
    <w:rsid w:val="00545807"/>
    <w:rsid w:val="005471BC"/>
    <w:rsid w:val="005506C7"/>
    <w:rsid w:val="00551AB1"/>
    <w:rsid w:val="00557DED"/>
    <w:rsid w:val="0056386E"/>
    <w:rsid w:val="00566133"/>
    <w:rsid w:val="00570E9C"/>
    <w:rsid w:val="00571C95"/>
    <w:rsid w:val="00571EE5"/>
    <w:rsid w:val="00572917"/>
    <w:rsid w:val="00584CAC"/>
    <w:rsid w:val="00584F51"/>
    <w:rsid w:val="005857A0"/>
    <w:rsid w:val="00592667"/>
    <w:rsid w:val="005A0CD9"/>
    <w:rsid w:val="005A3A16"/>
    <w:rsid w:val="005A3AD4"/>
    <w:rsid w:val="005A5D93"/>
    <w:rsid w:val="005B371C"/>
    <w:rsid w:val="005B6DF7"/>
    <w:rsid w:val="005D5ADA"/>
    <w:rsid w:val="005E545F"/>
    <w:rsid w:val="005F0627"/>
    <w:rsid w:val="005F702A"/>
    <w:rsid w:val="00601431"/>
    <w:rsid w:val="006058F8"/>
    <w:rsid w:val="00611EC0"/>
    <w:rsid w:val="006162A0"/>
    <w:rsid w:val="006226C0"/>
    <w:rsid w:val="00625707"/>
    <w:rsid w:val="00634619"/>
    <w:rsid w:val="00637B67"/>
    <w:rsid w:val="00640F48"/>
    <w:rsid w:val="00643512"/>
    <w:rsid w:val="006506B3"/>
    <w:rsid w:val="006513EB"/>
    <w:rsid w:val="00655DF1"/>
    <w:rsid w:val="00655E4B"/>
    <w:rsid w:val="00671EFD"/>
    <w:rsid w:val="00672CD2"/>
    <w:rsid w:val="006751DB"/>
    <w:rsid w:val="00675ECC"/>
    <w:rsid w:val="0067669F"/>
    <w:rsid w:val="006828F9"/>
    <w:rsid w:val="006A4808"/>
    <w:rsid w:val="006A5E5E"/>
    <w:rsid w:val="006A6605"/>
    <w:rsid w:val="006B22D4"/>
    <w:rsid w:val="006B6FE1"/>
    <w:rsid w:val="006C1E94"/>
    <w:rsid w:val="006D2443"/>
    <w:rsid w:val="006E0E98"/>
    <w:rsid w:val="006E20AA"/>
    <w:rsid w:val="006E2FEF"/>
    <w:rsid w:val="006F2100"/>
    <w:rsid w:val="00703DDB"/>
    <w:rsid w:val="00710062"/>
    <w:rsid w:val="0071600B"/>
    <w:rsid w:val="00727C57"/>
    <w:rsid w:val="00731658"/>
    <w:rsid w:val="00732461"/>
    <w:rsid w:val="007329CA"/>
    <w:rsid w:val="00733FAA"/>
    <w:rsid w:val="00742D27"/>
    <w:rsid w:val="00743F87"/>
    <w:rsid w:val="00747A22"/>
    <w:rsid w:val="0075035A"/>
    <w:rsid w:val="00751155"/>
    <w:rsid w:val="00752F02"/>
    <w:rsid w:val="007540B8"/>
    <w:rsid w:val="00761494"/>
    <w:rsid w:val="007629F2"/>
    <w:rsid w:val="00762E49"/>
    <w:rsid w:val="00765748"/>
    <w:rsid w:val="007657B7"/>
    <w:rsid w:val="007734C1"/>
    <w:rsid w:val="007755F4"/>
    <w:rsid w:val="00776087"/>
    <w:rsid w:val="00776BD6"/>
    <w:rsid w:val="00782655"/>
    <w:rsid w:val="00785260"/>
    <w:rsid w:val="00787212"/>
    <w:rsid w:val="0078774C"/>
    <w:rsid w:val="007978FD"/>
    <w:rsid w:val="007A0329"/>
    <w:rsid w:val="007A2DE5"/>
    <w:rsid w:val="007A4463"/>
    <w:rsid w:val="007A4A6F"/>
    <w:rsid w:val="007A4FC9"/>
    <w:rsid w:val="007A559C"/>
    <w:rsid w:val="007A6130"/>
    <w:rsid w:val="007A6A1E"/>
    <w:rsid w:val="007B0985"/>
    <w:rsid w:val="007C3BEB"/>
    <w:rsid w:val="007C4FE5"/>
    <w:rsid w:val="007C7760"/>
    <w:rsid w:val="007D3A15"/>
    <w:rsid w:val="007D77A2"/>
    <w:rsid w:val="007E1A61"/>
    <w:rsid w:val="007E1AA5"/>
    <w:rsid w:val="007E29FB"/>
    <w:rsid w:val="007E3E93"/>
    <w:rsid w:val="007F2FD9"/>
    <w:rsid w:val="007F319F"/>
    <w:rsid w:val="007F4114"/>
    <w:rsid w:val="007F7DF6"/>
    <w:rsid w:val="008031B4"/>
    <w:rsid w:val="00813BF5"/>
    <w:rsid w:val="00815633"/>
    <w:rsid w:val="0083113C"/>
    <w:rsid w:val="00837D4C"/>
    <w:rsid w:val="00840D02"/>
    <w:rsid w:val="00843ECB"/>
    <w:rsid w:val="00843EE4"/>
    <w:rsid w:val="00851C0E"/>
    <w:rsid w:val="0085289D"/>
    <w:rsid w:val="00852AE8"/>
    <w:rsid w:val="00863A5C"/>
    <w:rsid w:val="0087786E"/>
    <w:rsid w:val="00880DE1"/>
    <w:rsid w:val="00880DE2"/>
    <w:rsid w:val="00885FD0"/>
    <w:rsid w:val="00886190"/>
    <w:rsid w:val="008A1CA2"/>
    <w:rsid w:val="008A5710"/>
    <w:rsid w:val="008A77C7"/>
    <w:rsid w:val="008C5643"/>
    <w:rsid w:val="008C71CC"/>
    <w:rsid w:val="008D2E2D"/>
    <w:rsid w:val="008D306E"/>
    <w:rsid w:val="008D3C0B"/>
    <w:rsid w:val="008D43AF"/>
    <w:rsid w:val="008D5D58"/>
    <w:rsid w:val="008D603F"/>
    <w:rsid w:val="008E1106"/>
    <w:rsid w:val="008E1189"/>
    <w:rsid w:val="008E211E"/>
    <w:rsid w:val="008F02E9"/>
    <w:rsid w:val="008F0B13"/>
    <w:rsid w:val="009013C4"/>
    <w:rsid w:val="009101F8"/>
    <w:rsid w:val="00911C3F"/>
    <w:rsid w:val="00913D02"/>
    <w:rsid w:val="009140D2"/>
    <w:rsid w:val="009164F1"/>
    <w:rsid w:val="0092563A"/>
    <w:rsid w:val="00937904"/>
    <w:rsid w:val="00942580"/>
    <w:rsid w:val="00945CA0"/>
    <w:rsid w:val="00955561"/>
    <w:rsid w:val="009572CA"/>
    <w:rsid w:val="009625EC"/>
    <w:rsid w:val="00966AF7"/>
    <w:rsid w:val="0097036A"/>
    <w:rsid w:val="009729A8"/>
    <w:rsid w:val="009741BE"/>
    <w:rsid w:val="0097525D"/>
    <w:rsid w:val="009770DD"/>
    <w:rsid w:val="009827DB"/>
    <w:rsid w:val="00982B9C"/>
    <w:rsid w:val="0098419D"/>
    <w:rsid w:val="00985AA7"/>
    <w:rsid w:val="00986C25"/>
    <w:rsid w:val="009913D4"/>
    <w:rsid w:val="00992B91"/>
    <w:rsid w:val="00997121"/>
    <w:rsid w:val="009A02C4"/>
    <w:rsid w:val="009A126C"/>
    <w:rsid w:val="009B26F4"/>
    <w:rsid w:val="009B468D"/>
    <w:rsid w:val="009C154A"/>
    <w:rsid w:val="009D12B8"/>
    <w:rsid w:val="009D68BB"/>
    <w:rsid w:val="009F21EF"/>
    <w:rsid w:val="009F2F6D"/>
    <w:rsid w:val="00A1746C"/>
    <w:rsid w:val="00A1768E"/>
    <w:rsid w:val="00A21ED4"/>
    <w:rsid w:val="00A33865"/>
    <w:rsid w:val="00A42275"/>
    <w:rsid w:val="00A46743"/>
    <w:rsid w:val="00A52922"/>
    <w:rsid w:val="00A52D30"/>
    <w:rsid w:val="00A600FB"/>
    <w:rsid w:val="00A625AC"/>
    <w:rsid w:val="00A62DD5"/>
    <w:rsid w:val="00A64100"/>
    <w:rsid w:val="00A706C3"/>
    <w:rsid w:val="00A70AB4"/>
    <w:rsid w:val="00A70BE6"/>
    <w:rsid w:val="00A816F0"/>
    <w:rsid w:val="00A82DF2"/>
    <w:rsid w:val="00A84214"/>
    <w:rsid w:val="00A91DF3"/>
    <w:rsid w:val="00A94FDF"/>
    <w:rsid w:val="00AA2A69"/>
    <w:rsid w:val="00AA3593"/>
    <w:rsid w:val="00AA4E61"/>
    <w:rsid w:val="00AA580B"/>
    <w:rsid w:val="00AB0668"/>
    <w:rsid w:val="00AB1A6C"/>
    <w:rsid w:val="00AB3B9C"/>
    <w:rsid w:val="00AB577F"/>
    <w:rsid w:val="00AD1D82"/>
    <w:rsid w:val="00AD30ED"/>
    <w:rsid w:val="00AE31DE"/>
    <w:rsid w:val="00AE6062"/>
    <w:rsid w:val="00B03FB0"/>
    <w:rsid w:val="00B1758C"/>
    <w:rsid w:val="00B17616"/>
    <w:rsid w:val="00B21C23"/>
    <w:rsid w:val="00B32AB0"/>
    <w:rsid w:val="00B34921"/>
    <w:rsid w:val="00B35D7C"/>
    <w:rsid w:val="00B40A04"/>
    <w:rsid w:val="00B44F7E"/>
    <w:rsid w:val="00B52A2E"/>
    <w:rsid w:val="00B620A2"/>
    <w:rsid w:val="00B639B8"/>
    <w:rsid w:val="00B65484"/>
    <w:rsid w:val="00B70F09"/>
    <w:rsid w:val="00B712A5"/>
    <w:rsid w:val="00B72295"/>
    <w:rsid w:val="00B725EE"/>
    <w:rsid w:val="00B74B43"/>
    <w:rsid w:val="00B7741E"/>
    <w:rsid w:val="00B82B33"/>
    <w:rsid w:val="00B84AA7"/>
    <w:rsid w:val="00B86474"/>
    <w:rsid w:val="00BA0083"/>
    <w:rsid w:val="00BB4638"/>
    <w:rsid w:val="00BB4ABA"/>
    <w:rsid w:val="00BD0C49"/>
    <w:rsid w:val="00BD0F56"/>
    <w:rsid w:val="00BD142F"/>
    <w:rsid w:val="00BE245E"/>
    <w:rsid w:val="00BE4E3D"/>
    <w:rsid w:val="00BE6FBF"/>
    <w:rsid w:val="00BF2555"/>
    <w:rsid w:val="00BF5240"/>
    <w:rsid w:val="00BF70EB"/>
    <w:rsid w:val="00C0209E"/>
    <w:rsid w:val="00C07136"/>
    <w:rsid w:val="00C1434D"/>
    <w:rsid w:val="00C274D5"/>
    <w:rsid w:val="00C3067A"/>
    <w:rsid w:val="00C31070"/>
    <w:rsid w:val="00C32E71"/>
    <w:rsid w:val="00C3734C"/>
    <w:rsid w:val="00C40C87"/>
    <w:rsid w:val="00C41A5F"/>
    <w:rsid w:val="00C4322D"/>
    <w:rsid w:val="00C47903"/>
    <w:rsid w:val="00C57F4C"/>
    <w:rsid w:val="00C62E19"/>
    <w:rsid w:val="00C7270C"/>
    <w:rsid w:val="00C75458"/>
    <w:rsid w:val="00C7767A"/>
    <w:rsid w:val="00C81F27"/>
    <w:rsid w:val="00C914E6"/>
    <w:rsid w:val="00C93561"/>
    <w:rsid w:val="00C9379D"/>
    <w:rsid w:val="00C94451"/>
    <w:rsid w:val="00C94747"/>
    <w:rsid w:val="00CA2B8E"/>
    <w:rsid w:val="00CA7D4B"/>
    <w:rsid w:val="00CB1277"/>
    <w:rsid w:val="00CB246A"/>
    <w:rsid w:val="00CB2D87"/>
    <w:rsid w:val="00CB7BF3"/>
    <w:rsid w:val="00CC132D"/>
    <w:rsid w:val="00CC1894"/>
    <w:rsid w:val="00CC50A1"/>
    <w:rsid w:val="00CC6B21"/>
    <w:rsid w:val="00CC716C"/>
    <w:rsid w:val="00CD4C9D"/>
    <w:rsid w:val="00CE136F"/>
    <w:rsid w:val="00CE65AB"/>
    <w:rsid w:val="00D02FCA"/>
    <w:rsid w:val="00D04FC4"/>
    <w:rsid w:val="00D05520"/>
    <w:rsid w:val="00D111C9"/>
    <w:rsid w:val="00D1488B"/>
    <w:rsid w:val="00D14CDE"/>
    <w:rsid w:val="00D23949"/>
    <w:rsid w:val="00D25427"/>
    <w:rsid w:val="00D2770E"/>
    <w:rsid w:val="00D3171D"/>
    <w:rsid w:val="00D3221D"/>
    <w:rsid w:val="00D41CC3"/>
    <w:rsid w:val="00D43826"/>
    <w:rsid w:val="00D514A6"/>
    <w:rsid w:val="00D561BA"/>
    <w:rsid w:val="00D648FD"/>
    <w:rsid w:val="00D67CBB"/>
    <w:rsid w:val="00D70EBC"/>
    <w:rsid w:val="00D77F83"/>
    <w:rsid w:val="00D81471"/>
    <w:rsid w:val="00D86AD3"/>
    <w:rsid w:val="00D97696"/>
    <w:rsid w:val="00D97D04"/>
    <w:rsid w:val="00DA29F7"/>
    <w:rsid w:val="00DB4F9C"/>
    <w:rsid w:val="00DB6F25"/>
    <w:rsid w:val="00DC224A"/>
    <w:rsid w:val="00DC3CE6"/>
    <w:rsid w:val="00DC5AB7"/>
    <w:rsid w:val="00DE2349"/>
    <w:rsid w:val="00DE26F2"/>
    <w:rsid w:val="00DE7FB8"/>
    <w:rsid w:val="00DF4BAC"/>
    <w:rsid w:val="00DF6223"/>
    <w:rsid w:val="00DF6F41"/>
    <w:rsid w:val="00DF7C7C"/>
    <w:rsid w:val="00DF7FC3"/>
    <w:rsid w:val="00E04EA6"/>
    <w:rsid w:val="00E06BF0"/>
    <w:rsid w:val="00E11150"/>
    <w:rsid w:val="00E14EC8"/>
    <w:rsid w:val="00E23D2D"/>
    <w:rsid w:val="00E2465D"/>
    <w:rsid w:val="00E24EE0"/>
    <w:rsid w:val="00E2733F"/>
    <w:rsid w:val="00E3341C"/>
    <w:rsid w:val="00E36E27"/>
    <w:rsid w:val="00E40F76"/>
    <w:rsid w:val="00E43330"/>
    <w:rsid w:val="00E53973"/>
    <w:rsid w:val="00E53AC1"/>
    <w:rsid w:val="00E55745"/>
    <w:rsid w:val="00E55B83"/>
    <w:rsid w:val="00E73689"/>
    <w:rsid w:val="00E82873"/>
    <w:rsid w:val="00E83FC8"/>
    <w:rsid w:val="00E84102"/>
    <w:rsid w:val="00E872F9"/>
    <w:rsid w:val="00EA1B13"/>
    <w:rsid w:val="00EA4F8F"/>
    <w:rsid w:val="00EB0614"/>
    <w:rsid w:val="00EB166A"/>
    <w:rsid w:val="00EB1EC8"/>
    <w:rsid w:val="00ED0EA3"/>
    <w:rsid w:val="00ED43DE"/>
    <w:rsid w:val="00EE65B8"/>
    <w:rsid w:val="00EF78F0"/>
    <w:rsid w:val="00F01B80"/>
    <w:rsid w:val="00F0584A"/>
    <w:rsid w:val="00F10399"/>
    <w:rsid w:val="00F11E19"/>
    <w:rsid w:val="00F24DEC"/>
    <w:rsid w:val="00F27AD3"/>
    <w:rsid w:val="00F31131"/>
    <w:rsid w:val="00F311D6"/>
    <w:rsid w:val="00F316BD"/>
    <w:rsid w:val="00F32487"/>
    <w:rsid w:val="00F33519"/>
    <w:rsid w:val="00F44339"/>
    <w:rsid w:val="00F51055"/>
    <w:rsid w:val="00F525EB"/>
    <w:rsid w:val="00F52DAF"/>
    <w:rsid w:val="00F553E2"/>
    <w:rsid w:val="00F556CF"/>
    <w:rsid w:val="00F55C99"/>
    <w:rsid w:val="00F60FCA"/>
    <w:rsid w:val="00F71028"/>
    <w:rsid w:val="00F76643"/>
    <w:rsid w:val="00F83BCA"/>
    <w:rsid w:val="00F86AD5"/>
    <w:rsid w:val="00FA0EC6"/>
    <w:rsid w:val="00FB1988"/>
    <w:rsid w:val="00FB1FA7"/>
    <w:rsid w:val="00FB2621"/>
    <w:rsid w:val="00FB2C91"/>
    <w:rsid w:val="00FB6047"/>
    <w:rsid w:val="00FB7722"/>
    <w:rsid w:val="00FC03D3"/>
    <w:rsid w:val="00FC3A4B"/>
    <w:rsid w:val="00FC4899"/>
    <w:rsid w:val="00FC59AF"/>
    <w:rsid w:val="00FC71B4"/>
    <w:rsid w:val="00FD0ECC"/>
    <w:rsid w:val="00FD539D"/>
    <w:rsid w:val="00FD63F7"/>
    <w:rsid w:val="00FE1930"/>
    <w:rsid w:val="00FF3D83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D02627"/>
  <w15:docId w15:val="{AE274BFF-5446-4B16-932B-57C10FDE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51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99"/>
    <w:rsid w:val="005857A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5857A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5857A0"/>
    <w:rPr>
      <w:sz w:val="24"/>
      <w:szCs w:val="24"/>
    </w:rPr>
  </w:style>
  <w:style w:type="paragraph" w:styleId="Textodebalo">
    <w:name w:val="Balloon Text"/>
    <w:basedOn w:val="Normal"/>
    <w:link w:val="TextodebaloChar"/>
    <w:rsid w:val="00A706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706C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locked/>
    <w:rsid w:val="001C6E0E"/>
    <w:rPr>
      <w:sz w:val="24"/>
      <w:szCs w:val="24"/>
    </w:rPr>
  </w:style>
  <w:style w:type="character" w:customStyle="1" w:styleId="apple-converted-space">
    <w:name w:val="apple-converted-space"/>
    <w:rsid w:val="00BF2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9AFC2-E320-477B-8A98-191B99C8A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2802A-92FD-4FEB-944B-150E1A74A1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3.xml><?xml version="1.0" encoding="utf-8"?>
<ds:datastoreItem xmlns:ds="http://schemas.openxmlformats.org/officeDocument/2006/customXml" ds:itemID="{1E6E38C6-D48E-4D81-B134-D7FAC159C3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8B2E5-9D01-4EC7-B293-0067FAE6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11</Pages>
  <Words>2099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keywords/>
  <cp:lastModifiedBy>Alexandre de Andrade Cid</cp:lastModifiedBy>
  <cp:revision>17</cp:revision>
  <cp:lastPrinted>2017-02-17T12:38:00Z</cp:lastPrinted>
  <dcterms:created xsi:type="dcterms:W3CDTF">2019-11-04T16:36:00Z</dcterms:created>
  <dcterms:modified xsi:type="dcterms:W3CDTF">2025-01-30T19:42:00Z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