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Normal"/>
        <w:spacing w:line="360" w:lineRule="auto"/>
        <w:jc w:val="center"/>
        <w:rPr>
          <w:rFonts w:ascii="Arial" w:hAnsi="Arial" w:eastAsia="Arial" w:cs="Arial"/>
          <w:b/>
          <w:b/>
          <w:bCs/>
          <w:color w:val="000000" w:themeColor="text1"/>
          <w:sz w:val="28"/>
          <w:szCs w:val="28"/>
          <w:highlight w:val="red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highlight w:val="red"/>
        </w:rPr>
      </w:r>
    </w:p>
    <w:p xmlns:wp14="http://schemas.microsoft.com/office/word/2010/wordml" w14:paraId="01CBBE4F" wp14:textId="77777777">
      <w:pPr>
        <w:pStyle w:val="Normal"/>
        <w:spacing w:line="360" w:lineRule="auto"/>
        <w:jc w:val="center"/>
        <w:rPr>
          <w:rFonts w:ascii="Arial" w:hAnsi="Arial" w:eastAsia="Arial" w:cs="Arial"/>
          <w:b/>
          <w:b/>
          <w:color w:val="000000" w:themeColor="text1"/>
          <w:sz w:val="28"/>
        </w:rPr>
      </w:pPr>
      <w:r>
        <w:rPr>
          <w:rFonts w:ascii="Arial" w:hAnsi="Arial" w:eastAsia="Arial" w:cs="Arial"/>
          <w:b/>
          <w:color w:val="000000" w:themeColor="text1"/>
          <w:sz w:val="28"/>
        </w:rPr>
        <w:t>NOTA TÉCNICA Nº 00</w:t>
      </w:r>
      <w:r>
        <w:rPr>
          <w:rFonts w:ascii="Arial" w:hAnsi="Arial" w:eastAsia="Arial" w:cs="Arial"/>
          <w:b/>
          <w:color w:val="000000" w:themeColor="text1"/>
          <w:sz w:val="28"/>
        </w:rPr>
        <w:t>6</w:t>
      </w:r>
      <w:r>
        <w:rPr>
          <w:rFonts w:ascii="Arial" w:hAnsi="Arial" w:eastAsia="Arial" w:cs="Arial"/>
          <w:b/>
          <w:color w:val="000000" w:themeColor="text1"/>
          <w:sz w:val="28"/>
        </w:rPr>
        <w:t>/2025/CG_05_24</w:t>
      </w:r>
    </w:p>
    <w:p xmlns:wp14="http://schemas.microsoft.com/office/word/2010/wordml" w14:paraId="64A8BF47" wp14:textId="77777777">
      <w:pPr>
        <w:pStyle w:val="Normal"/>
        <w:tabs>
          <w:tab w:val="clear" w:pos="708"/>
          <w:tab w:val="left" w:leader="none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Assunto:</w:t>
      </w:r>
      <w:r>
        <w:rPr>
          <w:rFonts w:ascii="Arial" w:hAnsi="Arial" w:eastAsia="Arial" w:cs="Arial"/>
          <w:b/>
          <w:color w:val="000000" w:themeColor="text1"/>
        </w:rPr>
        <w:tab/>
      </w:r>
      <w:r>
        <w:rPr>
          <w:rFonts w:ascii="Arial" w:hAnsi="Arial" w:eastAsia="Arial" w:cs="Arial"/>
          <w:color w:val="000000" w:themeColor="text1"/>
        </w:rPr>
        <w:t>Análise de pedido de outorga.</w:t>
      </w:r>
    </w:p>
    <w:p xmlns:wp14="http://schemas.microsoft.com/office/word/2010/wordml" w14:paraId="52517DA4" wp14:textId="77777777">
      <w:pPr>
        <w:pStyle w:val="Normal"/>
        <w:tabs>
          <w:tab w:val="clear" w:pos="708"/>
          <w:tab w:val="left" w:leader="none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fill="FF0000"/>
        </w:rPr>
      </w:pPr>
      <w:r>
        <w:rPr>
          <w:rFonts w:ascii="Arial" w:hAnsi="Arial" w:eastAsia="Arial" w:cs="Arial"/>
          <w:b/>
          <w:color w:val="000000" w:themeColor="text1"/>
        </w:rPr>
        <w:t>Referência:</w:t>
      </w:r>
      <w:r>
        <w:rPr>
          <w:rFonts w:ascii="Arial" w:hAnsi="Arial" w:eastAsia="Arial" w:cs="Arial"/>
          <w:b/>
          <w:color w:val="000000" w:themeColor="text1"/>
        </w:rPr>
        <w:tab/>
      </w:r>
      <w:bookmarkStart w:name="_Hlk209604178" w:id="0"/>
      <w:r>
        <w:rPr>
          <w:rFonts w:ascii="Arial" w:hAnsi="Arial" w:eastAsia="Arial" w:cs="Arial"/>
          <w:color w:val="000000" w:themeColor="text1"/>
        </w:rPr>
        <w:t>Processo de outorga nº. 6367/2025; Processo SEI nº 2240.01.00052142025-71;</w:t>
      </w:r>
      <w:bookmarkEnd w:id="0"/>
      <w:r>
        <w:rPr/>
        <w:t xml:space="preserve"> </w:t>
      </w:r>
    </w:p>
    <w:p xmlns:wp14="http://schemas.microsoft.com/office/word/2010/wordml" w14:paraId="0A37501D" wp14:textId="77777777">
      <w:pPr>
        <w:pStyle w:val="Normal"/>
        <w:tabs>
          <w:tab w:val="clear" w:pos="708"/>
          <w:tab w:val="left" w:leader="none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fill="FF0000"/>
        </w:rPr>
      </w:pPr>
      <w:r>
        <w:rPr>
          <w:rFonts w:ascii="Arial" w:hAnsi="Arial" w:eastAsia="Arial" w:cs="Arial"/>
          <w:color w:val="000000" w:themeColor="text1"/>
          <w:shd w:val="clear" w:fill="FF0000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6"/>
      </w:tblGrid>
      <w:tr xmlns:wp14="http://schemas.microsoft.com/office/word/2010/wordml" w:rsidTr="60AED275" w14:paraId="7643634E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6A0B1634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INSTRUMENTO CONTRATUAL:</w:t>
            </w:r>
          </w:p>
        </w:tc>
        <w:tc>
          <w:tcPr>
            <w:tcW w:w="4676" w:type="dxa"/>
            <w:tcBorders/>
            <w:tcMar/>
          </w:tcPr>
          <w:p w14:paraId="629D792A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N/A</w:t>
            </w:r>
          </w:p>
        </w:tc>
      </w:tr>
      <w:tr xmlns:wp14="http://schemas.microsoft.com/office/word/2010/wordml" w:rsidTr="60AED275" w14:paraId="79AEB392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0665A141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OBJETO:</w:t>
            </w:r>
          </w:p>
        </w:tc>
        <w:tc>
          <w:tcPr>
            <w:tcW w:w="4676" w:type="dxa"/>
            <w:tcBorders/>
            <w:tcMar/>
          </w:tcPr>
          <w:p w14:paraId="0B452792" wp14:textId="77777777">
            <w:pPr>
              <w:pStyle w:val="Corpodotexto"/>
              <w:widowControl w:val="false"/>
              <w:spacing w:line="360" w:lineRule="auto"/>
              <w:ind w:right="-1" w:hang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Solicitação de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Outorga de Direito de Uso de Recursos Hídricos</w:t>
            </w:r>
            <w:r>
              <w:rPr>
                <w:rFonts w:ascii="Arial" w:hAnsi="Arial" w:cs="Arial"/>
                <w:color w:val="000000" w:themeColor="text1"/>
              </w:rPr>
              <w:t xml:space="preserve"> para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desvio total ou parcial de curso d’água</w:t>
            </w:r>
            <w:r>
              <w:rPr>
                <w:rFonts w:ascii="Arial" w:hAnsi="Arial" w:cs="Arial"/>
                <w:color w:val="000000" w:themeColor="text1"/>
              </w:rPr>
              <w:t>, no município de Pouso Alegre/MG.</w:t>
            </w:r>
          </w:p>
          <w:p w14:paraId="5DAB6C7B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</w:r>
          </w:p>
        </w:tc>
      </w:tr>
      <w:tr xmlns:wp14="http://schemas.microsoft.com/office/word/2010/wordml" w:rsidTr="60AED275" w14:paraId="42361813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7CD04B41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EMPRESA:</w:t>
            </w:r>
          </w:p>
        </w:tc>
        <w:tc>
          <w:tcPr>
            <w:tcW w:w="4676" w:type="dxa"/>
            <w:tcBorders/>
            <w:tcMar/>
          </w:tcPr>
          <w:p w14:paraId="1FA3C382" wp14:textId="77777777">
            <w:pPr>
              <w:pStyle w:val="Corpodotexto"/>
              <w:widowControl w:val="false"/>
              <w:spacing w:line="360" w:lineRule="auto"/>
              <w:ind w:right="-1" w:hanging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CEMA CENTRAL MINEIRA ATACADISTA LTDA</w:t>
            </w:r>
          </w:p>
          <w:p w14:paraId="2AB3F61E" wp14:textId="77777777">
            <w:pPr>
              <w:pStyle w:val="Corpodotexto"/>
              <w:widowControl w:val="false"/>
              <w:spacing w:line="360" w:lineRule="auto"/>
              <w:ind w:right="-1" w:hanging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CNPJ  03.083.231/0043-53</w:t>
            </w:r>
          </w:p>
        </w:tc>
      </w:tr>
      <w:tr xmlns:wp14="http://schemas.microsoft.com/office/word/2010/wordml" w:rsidTr="60AED275" w14:paraId="7119819B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7E8D674F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ÁREA DE ABRANGÊNCIA:</w:t>
            </w:r>
          </w:p>
        </w:tc>
        <w:tc>
          <w:tcPr>
            <w:tcW w:w="4676" w:type="dxa"/>
            <w:tcBorders/>
            <w:tcMar/>
          </w:tcPr>
          <w:p w14:paraId="5F9A3CE1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Pouso Alegre/MG</w:t>
            </w:r>
          </w:p>
        </w:tc>
      </w:tr>
      <w:tr xmlns:wp14="http://schemas.microsoft.com/office/word/2010/wordml" w:rsidTr="60AED275" w14:paraId="51EE7671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5CE8369E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COMITÊ:</w:t>
            </w:r>
          </w:p>
        </w:tc>
        <w:tc>
          <w:tcPr>
            <w:tcW w:w="4676" w:type="dxa"/>
            <w:tcBorders/>
            <w:tcMar/>
          </w:tcPr>
          <w:p w14:paraId="7775A7ED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CBH do Rio Sapucaí.</w:t>
            </w:r>
          </w:p>
        </w:tc>
      </w:tr>
      <w:tr xmlns:wp14="http://schemas.microsoft.com/office/word/2010/wordml" w:rsidTr="60AED275" w14:paraId="32614196" wp14:textId="77777777">
        <w:trPr>
          <w:trHeight w:val="454" w:hRule="atLeast"/>
        </w:trPr>
        <w:tc>
          <w:tcPr>
            <w:tcW w:w="4395" w:type="dxa"/>
            <w:tcBorders/>
            <w:tcMar/>
          </w:tcPr>
          <w:p w14:paraId="6B6CE5D8" wp14:textId="77777777">
            <w:pPr>
              <w:pStyle w:val="Corpodotexto"/>
              <w:widowControl w:val="false"/>
              <w:spacing w:before="0" w:after="160" w:line="360" w:lineRule="auto"/>
              <w:ind w:right="-1" w:hanging="0"/>
              <w:rPr>
                <w:rFonts w:ascii="Arial" w:hAnsi="Arial" w:cs="Arial"/>
                <w:b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DOCUMENTO EM ANÁLISE:</w:t>
            </w:r>
          </w:p>
        </w:tc>
        <w:tc>
          <w:tcPr>
            <w:tcW w:w="4676" w:type="dxa"/>
            <w:tcBorders/>
            <w:tcMar/>
          </w:tcPr>
          <w:p w14:paraId="7B7337AF" wp14:textId="5C6B745E">
            <w:pPr>
              <w:pStyle w:val="Corpodotexto"/>
              <w:widowControl w:val="0"/>
              <w:tabs>
                <w:tab w:val="clear" w:pos="708"/>
                <w:tab w:val="left" w:leader="none" w:pos="2700"/>
              </w:tabs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</w:rPr>
            </w:pPr>
            <w:r w:rsidR="60AED275">
              <w:rPr>
                <w:rFonts w:ascii="Arial" w:hAnsi="Arial" w:cs="Arial"/>
                <w:color w:val="000000" w:themeColor="text1"/>
              </w:rPr>
              <w:t>Parecer Técnico IGAM/URGA SM/OUTORGA</w:t>
            </w:r>
            <w:r w:rsidR="60AED275">
              <w:rPr>
                <w:rFonts w:ascii="Arial" w:hAnsi="Arial" w:cs="Arial"/>
                <w:color w:val="000000" w:themeColor="text1"/>
                <w:shd w:val="clear" w:fill="auto"/>
              </w:rPr>
              <w:t xml:space="preserve"> nº. </w:t>
            </w:r>
            <w:r w:rsidR="60AED275">
              <w:rPr>
                <w:rFonts w:ascii="Arial" w:hAnsi="Arial" w:cs="Arial"/>
                <w:color w:val="000000" w:themeColor="text1"/>
                <w:shd w:val="clear" w:fill="auto"/>
              </w:rPr>
              <w:t>SEI 122201666 (</w:t>
            </w:r>
            <w:r w:rsidR="60AED275">
              <w:rPr>
                <w:rFonts w:ascii="Arial" w:hAnsi="Arial" w:cs="Arial"/>
                <w:color w:val="000000" w:themeColor="text1"/>
                <w:shd w:val="clear" w:fill="auto"/>
              </w:rPr>
              <w:t>Processso</w:t>
            </w:r>
            <w:r w:rsidR="60AED275">
              <w:rPr>
                <w:rFonts w:ascii="Arial" w:hAnsi="Arial" w:cs="Arial"/>
                <w:color w:val="000000" w:themeColor="text1"/>
                <w:shd w:val="clear" w:fill="auto"/>
              </w:rPr>
              <w:t xml:space="preserve"> </w:t>
            </w:r>
            <w:r w:rsidRPr="60AED275" w:rsidR="60AED275">
              <w:rPr>
                <w:rFonts w:ascii="Arial" w:hAnsi="Arial" w:eastAsia="Arial" w:cs="Arial"/>
                <w:color w:val="000000" w:themeColor="text1" w:themeTint="FF" w:themeShade="FF"/>
              </w:rPr>
              <w:t>nº. 6367/2025)</w:t>
            </w:r>
            <w:r w:rsidR="60AED275">
              <w:rPr>
                <w:rFonts w:ascii="Arial" w:hAnsi="Arial" w:cs="Arial"/>
                <w:color w:val="000000" w:themeColor="text1"/>
                <w:shd w:val="clear" w:fill="auto"/>
              </w:rPr>
              <w:t>.</w:t>
            </w:r>
            <w:r w:rsidR="60AED275">
              <w:rPr>
                <w:rFonts w:ascii="Arial" w:hAnsi="Arial" w:cs="Arial"/>
                <w:color w:val="000000" w:themeColor="text1"/>
              </w:rPr>
              <w:t xml:space="preserve"> Outorga de Direito de Uso de Recursos Hídricos </w:t>
            </w:r>
            <w:r w:rsidR="60AED275">
              <w:rPr>
                <w:rFonts w:ascii="Arial" w:hAnsi="Arial" w:cs="Arial"/>
                <w:color w:val="000000" w:themeColor="text1"/>
              </w:rPr>
              <w:t>(IV. Construção de Dique ou Desvio em Corpo de Água).</w:t>
            </w:r>
          </w:p>
          <w:p w14:paraId="02EB378F" wp14:textId="77777777">
            <w:pPr>
              <w:pStyle w:val="Corpodotexto"/>
              <w:widowControl w:val="false"/>
              <w:tabs>
                <w:tab w:val="clear" w:pos="708"/>
                <w:tab w:val="left" w:leader="none" w:pos="2700"/>
              </w:tabs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</w:r>
          </w:p>
          <w:p w14:paraId="6A05A809" wp14:textId="77777777">
            <w:pPr>
              <w:pStyle w:val="Corpodotexto"/>
              <w:widowControl w:val="false"/>
              <w:tabs>
                <w:tab w:val="clear" w:pos="708"/>
                <w:tab w:val="left" w:leader="none" w:pos="2700"/>
              </w:tabs>
              <w:spacing w:before="0" w:after="160" w:line="360" w:lineRule="auto"/>
              <w:ind w:right="-1" w:hanging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</w:r>
          </w:p>
        </w:tc>
      </w:tr>
    </w:tbl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fill="FF0000"/>
        </w:rPr>
      </w:pPr>
      <w:r>
        <w:rPr>
          <w:rFonts w:ascii="Arial" w:hAnsi="Arial" w:eastAsia="Arial" w:cs="Arial"/>
          <w:color w:val="000000" w:themeColor="text1"/>
          <w:shd w:val="clear" w:fill="FF0000"/>
        </w:rPr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567"/>
        </w:tabs>
        <w:spacing w:before="0" w:after="240" w:line="360" w:lineRule="auto"/>
        <w:ind w:left="927" w:hanging="0"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</w:r>
    </w:p>
    <w:p xmlns:wp14="http://schemas.microsoft.com/office/word/2010/wordml" w14:paraId="72A3D3EC" wp14:textId="77777777">
      <w:pPr>
        <w:pStyle w:val="ListParagraph"/>
        <w:tabs>
          <w:tab w:val="clear" w:pos="708"/>
          <w:tab w:val="left" w:leader="none" w:pos="567"/>
        </w:tabs>
        <w:spacing w:before="0" w:after="240" w:line="360" w:lineRule="auto"/>
        <w:ind w:left="1287" w:hanging="0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</w:r>
    </w:p>
    <w:p xmlns:wp14="http://schemas.microsoft.com/office/word/2010/wordml" w14:paraId="068C80A1" wp14:textId="77777777">
      <w:pPr>
        <w:pStyle w:val="ListParagraph"/>
        <w:numPr>
          <w:ilvl w:val="0"/>
          <w:numId w:val="1"/>
        </w:numPr>
        <w:tabs>
          <w:tab w:val="clear" w:pos="708"/>
          <w:tab w:val="left" w:leader="none" w:pos="567"/>
        </w:tabs>
        <w:spacing w:before="0" w:after="240" w:line="360" w:lineRule="auto"/>
        <w:ind w:left="720" w:hanging="153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HISTÓRICO</w:t>
      </w:r>
    </w:p>
    <w:p xmlns:wp14="http://schemas.microsoft.com/office/word/2010/wordml" w14:paraId="651637A4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pacing w:val="-1"/>
        </w:rPr>
        <w:t>Em</w:t>
      </w:r>
      <w:r>
        <w:rPr>
          <w:rFonts w:ascii="Arial" w:hAnsi="Arial" w:eastAsia="Arial" w:cs="Arial"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cumprimento</w:t>
      </w:r>
      <w:r>
        <w:rPr>
          <w:rFonts w:ascii="Arial" w:hAnsi="Arial" w:eastAsia="Arial" w:cs="Arial"/>
          <w:color w:val="000000" w:themeColor="text1"/>
          <w:spacing w:val="-17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aos</w:t>
      </w:r>
      <w:r>
        <w:rPr>
          <w:rFonts w:ascii="Arial" w:hAnsi="Arial" w:eastAsia="Arial" w:cs="Arial"/>
          <w:color w:val="000000" w:themeColor="text1"/>
          <w:spacing w:val="-16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artigos</w:t>
      </w:r>
      <w:r>
        <w:rPr>
          <w:rFonts w:ascii="Arial" w:hAnsi="Arial" w:eastAsia="Arial" w:cs="Arial"/>
          <w:color w:val="000000" w:themeColor="text1"/>
          <w:spacing w:val="-17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2ª</w:t>
      </w:r>
      <w:r>
        <w:rPr>
          <w:rFonts w:ascii="Arial" w:hAnsi="Arial" w:eastAsia="Arial" w:cs="Arial"/>
          <w:color w:val="000000" w:themeColor="text1"/>
          <w:spacing w:val="-16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e</w:t>
      </w:r>
      <w:r>
        <w:rPr>
          <w:rFonts w:ascii="Arial" w:hAnsi="Arial" w:eastAsia="Arial" w:cs="Arial"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3º</w:t>
      </w:r>
      <w:r>
        <w:rPr>
          <w:rFonts w:ascii="Arial" w:hAnsi="Arial" w:eastAsia="Arial" w:cs="Arial"/>
          <w:color w:val="000000" w:themeColor="text1"/>
          <w:spacing w:val="-18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da</w:t>
      </w:r>
      <w:r>
        <w:rPr>
          <w:rFonts w:ascii="Arial" w:hAnsi="Arial" w:eastAsia="Arial" w:cs="Arial"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color w:val="000000" w:themeColor="text1"/>
          <w:spacing w:val="-1"/>
        </w:rPr>
        <w:t>Deliberação</w:t>
      </w:r>
      <w:r>
        <w:rPr>
          <w:rFonts w:ascii="Arial" w:hAnsi="Arial" w:eastAsia="Arial" w:cs="Arial"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color w:val="000000" w:themeColor="text1"/>
        </w:rPr>
        <w:t>Normativa</w:t>
      </w:r>
      <w:r>
        <w:rPr>
          <w:rFonts w:ascii="Arial" w:hAnsi="Arial" w:eastAsia="Arial" w:cs="Arial"/>
          <w:color w:val="000000" w:themeColor="text1"/>
          <w:spacing w:val="-16"/>
        </w:rPr>
        <w:t xml:space="preserve"> </w:t>
      </w:r>
      <w:r>
        <w:rPr>
          <w:rFonts w:ascii="Arial" w:hAnsi="Arial" w:eastAsia="Arial" w:cs="Arial"/>
          <w:color w:val="000000" w:themeColor="text1"/>
        </w:rPr>
        <w:t>do</w:t>
      </w:r>
      <w:r>
        <w:rPr>
          <w:rFonts w:ascii="Arial" w:hAnsi="Arial" w:eastAsia="Arial" w:cs="Arial"/>
          <w:color w:val="000000" w:themeColor="text1"/>
          <w:spacing w:val="-17"/>
        </w:rPr>
        <w:t xml:space="preserve"> </w:t>
      </w:r>
      <w:r>
        <w:rPr>
          <w:rFonts w:ascii="Arial" w:hAnsi="Arial" w:eastAsia="Arial" w:cs="Arial"/>
          <w:color w:val="000000" w:themeColor="text1"/>
        </w:rPr>
        <w:t>CERH</w:t>
      </w:r>
      <w:r>
        <w:rPr>
          <w:rFonts w:ascii="Arial" w:hAnsi="Arial" w:eastAsia="Arial" w:cs="Arial"/>
          <w:color w:val="000000" w:themeColor="text1"/>
          <w:spacing w:val="-17"/>
        </w:rPr>
        <w:t xml:space="preserve"> </w:t>
      </w:r>
      <w:r>
        <w:rPr>
          <w:rFonts w:ascii="Arial" w:hAnsi="Arial" w:eastAsia="Arial" w:cs="Arial"/>
          <w:color w:val="000000" w:themeColor="text1"/>
        </w:rPr>
        <w:t>nº</w:t>
      </w:r>
      <w:r>
        <w:rPr>
          <w:rFonts w:ascii="Arial" w:hAnsi="Arial" w:eastAsia="Arial" w:cs="Arial"/>
          <w:color w:val="000000" w:themeColor="text1"/>
          <w:spacing w:val="-16"/>
        </w:rPr>
        <w:t xml:space="preserve"> </w:t>
      </w:r>
      <w:r>
        <w:rPr>
          <w:rFonts w:ascii="Arial" w:hAnsi="Arial" w:eastAsia="Arial" w:cs="Arial"/>
          <w:color w:val="000000" w:themeColor="text1"/>
        </w:rPr>
        <w:t>31/2009, transcritos</w:t>
      </w:r>
      <w:r>
        <w:rPr>
          <w:rFonts w:ascii="Arial" w:hAnsi="Arial" w:eastAsia="Arial" w:cs="Arial"/>
          <w:color w:val="000000" w:themeColor="text1"/>
          <w:spacing w:val="-6"/>
        </w:rPr>
        <w:t xml:space="preserve"> </w:t>
      </w:r>
      <w:r>
        <w:rPr>
          <w:rFonts w:ascii="Arial" w:hAnsi="Arial" w:eastAsia="Arial" w:cs="Arial"/>
          <w:color w:val="000000" w:themeColor="text1"/>
        </w:rPr>
        <w:t>a</w:t>
      </w:r>
      <w:r>
        <w:rPr>
          <w:rFonts w:ascii="Arial" w:hAnsi="Arial" w:eastAsia="Arial" w:cs="Arial"/>
          <w:color w:val="000000" w:themeColor="text1"/>
          <w:spacing w:val="-4"/>
        </w:rPr>
        <w:t xml:space="preserve"> </w:t>
      </w:r>
      <w:r>
        <w:rPr>
          <w:rFonts w:ascii="Arial" w:hAnsi="Arial" w:eastAsia="Arial" w:cs="Arial"/>
          <w:color w:val="000000" w:themeColor="text1"/>
        </w:rPr>
        <w:t>seguir,</w:t>
      </w:r>
      <w:r>
        <w:rPr>
          <w:rFonts w:ascii="Arial" w:hAnsi="Arial" w:eastAsia="Arial" w:cs="Arial"/>
          <w:color w:val="000000" w:themeColor="text1"/>
          <w:spacing w:val="-6"/>
        </w:rPr>
        <w:t xml:space="preserve"> </w:t>
      </w:r>
      <w:r>
        <w:rPr>
          <w:rFonts w:ascii="Arial" w:hAnsi="Arial" w:eastAsia="Arial" w:cs="Arial"/>
          <w:color w:val="000000" w:themeColor="text1"/>
        </w:rPr>
        <w:t>o</w:t>
      </w:r>
      <w:r>
        <w:rPr>
          <w:rFonts w:ascii="Arial" w:hAnsi="Arial" w:eastAsia="Arial" w:cs="Arial"/>
          <w:color w:val="000000" w:themeColor="text1"/>
          <w:spacing w:val="-4"/>
        </w:rPr>
        <w:t xml:space="preserve"> </w:t>
      </w:r>
      <w:bookmarkStart w:name="_Hlk209613418" w:id="1"/>
      <w:r>
        <w:rPr>
          <w:rFonts w:ascii="Arial" w:hAnsi="Arial" w:eastAsia="Arial" w:cs="Arial"/>
          <w:color w:val="000000" w:themeColor="text1"/>
        </w:rPr>
        <w:t>CBH</w:t>
      </w:r>
      <w:r>
        <w:rPr>
          <w:rFonts w:ascii="Arial" w:hAnsi="Arial" w:eastAsia="Arial" w:cs="Arial"/>
          <w:color w:val="000000" w:themeColor="text1"/>
          <w:spacing w:val="-2"/>
        </w:rPr>
        <w:t xml:space="preserve"> Rio Sapucaí</w:t>
      </w:r>
      <w:r>
        <w:rPr>
          <w:rFonts w:ascii="Arial" w:hAnsi="Arial" w:eastAsia="Arial" w:cs="Arial"/>
          <w:color w:val="000000" w:themeColor="text1"/>
          <w:spacing w:val="-4"/>
        </w:rPr>
        <w:t xml:space="preserve"> </w:t>
      </w:r>
      <w:bookmarkEnd w:id="1"/>
      <w:r>
        <w:rPr>
          <w:rFonts w:ascii="Arial" w:hAnsi="Arial" w:eastAsia="Arial" w:cs="Arial"/>
          <w:color w:val="000000" w:themeColor="text1"/>
        </w:rPr>
        <w:t>encaminhou</w:t>
      </w:r>
      <w:r>
        <w:rPr>
          <w:rFonts w:ascii="Arial" w:hAnsi="Arial" w:eastAsia="Arial" w:cs="Arial"/>
          <w:color w:val="000000" w:themeColor="text1"/>
          <w:spacing w:val="-6"/>
        </w:rPr>
        <w:t xml:space="preserve"> </w:t>
      </w:r>
      <w:r>
        <w:rPr>
          <w:rFonts w:ascii="Arial" w:hAnsi="Arial" w:eastAsia="Arial" w:cs="Arial"/>
          <w:color w:val="000000" w:themeColor="text1"/>
        </w:rPr>
        <w:t>o</w:t>
      </w:r>
      <w:r>
        <w:rPr>
          <w:rFonts w:ascii="Arial" w:hAnsi="Arial" w:eastAsia="Arial" w:cs="Arial"/>
          <w:color w:val="000000" w:themeColor="text1"/>
          <w:spacing w:val="-5"/>
        </w:rPr>
        <w:t xml:space="preserve"> </w:t>
      </w:r>
      <w:r>
        <w:rPr>
          <w:rFonts w:ascii="Arial" w:hAnsi="Arial" w:eastAsia="Arial" w:cs="Arial"/>
          <w:color w:val="000000" w:themeColor="text1"/>
        </w:rPr>
        <w:t>processo</w:t>
      </w:r>
      <w:r>
        <w:rPr>
          <w:rFonts w:ascii="Arial" w:hAnsi="Arial" w:eastAsia="Arial" w:cs="Arial"/>
          <w:color w:val="000000" w:themeColor="text1"/>
          <w:spacing w:val="-4"/>
        </w:rPr>
        <w:t xml:space="preserve"> </w:t>
      </w:r>
      <w:r>
        <w:rPr>
          <w:rFonts w:ascii="Arial" w:hAnsi="Arial" w:eastAsia="Arial" w:cs="Arial"/>
          <w:color w:val="000000" w:themeColor="text1"/>
        </w:rPr>
        <w:t>de</w:t>
      </w:r>
      <w:r>
        <w:rPr>
          <w:rFonts w:ascii="Arial" w:hAnsi="Arial" w:eastAsia="Arial" w:cs="Arial"/>
          <w:color w:val="000000" w:themeColor="text1"/>
          <w:spacing w:val="-6"/>
        </w:rPr>
        <w:t xml:space="preserve"> </w:t>
      </w:r>
      <w:r>
        <w:rPr>
          <w:rFonts w:ascii="Arial" w:hAnsi="Arial" w:eastAsia="Arial" w:cs="Arial"/>
          <w:color w:val="000000" w:themeColor="text1"/>
        </w:rPr>
        <w:t>outorga nº 6367/2025</w:t>
      </w:r>
      <w:r>
        <w:rPr>
          <w:rFonts w:ascii="Arial" w:hAnsi="Arial" w:eastAsia="Arial" w:cs="Arial"/>
        </w:rPr>
        <w:t xml:space="preserve"> à Câmara Técnica de Outorga e Cobrança (CTOC) para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color w:val="000000" w:themeColor="text1"/>
        </w:rPr>
        <w:t>proceder</w:t>
      </w:r>
      <w:r>
        <w:rPr>
          <w:rFonts w:ascii="Arial" w:hAnsi="Arial" w:eastAsia="Arial" w:cs="Arial"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color w:val="000000" w:themeColor="text1"/>
        </w:rPr>
        <w:t>a</w:t>
      </w:r>
      <w:r>
        <w:rPr>
          <w:rFonts w:ascii="Arial" w:hAnsi="Arial" w:eastAsia="Arial" w:cs="Arial"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color w:val="000000" w:themeColor="text1"/>
        </w:rPr>
        <w:t>análise</w:t>
      </w:r>
      <w:r>
        <w:rPr>
          <w:rFonts w:ascii="Arial" w:hAnsi="Arial" w:eastAsia="Arial" w:cs="Arial"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color w:val="000000" w:themeColor="text1"/>
        </w:rPr>
        <w:t>e</w:t>
      </w:r>
      <w:r>
        <w:rPr>
          <w:rFonts w:ascii="Arial" w:hAnsi="Arial" w:eastAsia="Arial" w:cs="Arial"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color w:val="000000" w:themeColor="text1"/>
        </w:rPr>
        <w:t>emissão</w:t>
      </w:r>
      <w:r>
        <w:rPr>
          <w:rFonts w:ascii="Arial" w:hAnsi="Arial" w:eastAsia="Arial" w:cs="Arial"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color w:val="000000" w:themeColor="text1"/>
        </w:rPr>
        <w:t>de</w:t>
      </w:r>
      <w:r>
        <w:rPr>
          <w:rFonts w:ascii="Arial" w:hAnsi="Arial" w:eastAsia="Arial" w:cs="Arial"/>
          <w:color w:val="000000" w:themeColor="text1"/>
          <w:spacing w:val="-3"/>
        </w:rPr>
        <w:t xml:space="preserve"> </w:t>
      </w:r>
      <w:r>
        <w:rPr>
          <w:rFonts w:ascii="Arial" w:hAnsi="Arial" w:eastAsia="Arial" w:cs="Arial"/>
          <w:color w:val="000000" w:themeColor="text1"/>
        </w:rPr>
        <w:t>parecer em</w:t>
      </w:r>
      <w:r>
        <w:rPr>
          <w:rFonts w:ascii="Arial" w:hAnsi="Arial" w:eastAsia="Arial" w:cs="Arial"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color w:val="000000" w:themeColor="text1"/>
        </w:rPr>
        <w:t>apoio</w:t>
      </w:r>
      <w:r>
        <w:rPr>
          <w:rFonts w:ascii="Arial" w:hAnsi="Arial" w:eastAsia="Arial" w:cs="Arial"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color w:val="000000" w:themeColor="text1"/>
        </w:rPr>
        <w:t>ao</w:t>
      </w:r>
      <w:r>
        <w:rPr>
          <w:rFonts w:ascii="Arial" w:hAnsi="Arial" w:eastAsia="Arial" w:cs="Arial"/>
          <w:color w:val="000000" w:themeColor="text1"/>
          <w:spacing w:val="-3"/>
        </w:rPr>
        <w:t xml:space="preserve"> </w:t>
      </w:r>
      <w:r>
        <w:rPr>
          <w:rFonts w:ascii="Arial" w:hAnsi="Arial" w:eastAsia="Arial" w:cs="Arial"/>
          <w:color w:val="000000" w:themeColor="text1"/>
        </w:rPr>
        <w:t>plenário do</w:t>
      </w:r>
      <w:r>
        <w:rPr>
          <w:rFonts w:ascii="Arial" w:hAnsi="Arial" w:eastAsia="Arial" w:cs="Arial"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color w:val="000000" w:themeColor="text1"/>
        </w:rPr>
        <w:t>CBH:</w:t>
      </w:r>
    </w:p>
    <w:p xmlns:wp14="http://schemas.microsoft.com/office/word/2010/wordml" w14:paraId="47142181" wp14:textId="77777777">
      <w:pPr>
        <w:pStyle w:val="Normal"/>
        <w:spacing w:before="118" w:after="0" w:line="276" w:lineRule="auto"/>
        <w:ind w:left="2268" w:right="203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Art.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2º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-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processos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requerimento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outorga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para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empreendimentos de grande porte e com potencial poluidor serão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encaminhados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aos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comitês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bacias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hidrográficas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pelo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IGAM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pela</w:t>
      </w:r>
      <w:r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SUPRAM, devidamente acompanhados dos respectivos pareceres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técnicos</w:t>
      </w:r>
      <w:r>
        <w:rPr>
          <w:rFonts w:ascii="Arial" w:hAnsi="Arial" w:eastAsia="Arial" w:cs="Arial"/>
          <w:i/>
          <w:color w:val="000000" w:themeColor="text1"/>
          <w:spacing w:val="-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 jurídicos conclusivos</w:t>
      </w:r>
      <w:r>
        <w:rPr>
          <w:rFonts w:ascii="Arial" w:hAnsi="Arial" w:eastAsia="Arial" w:cs="Arial"/>
          <w:color w:val="000000" w:themeColor="text1"/>
        </w:rPr>
        <w:t>.</w:t>
      </w:r>
    </w:p>
    <w:p xmlns:wp14="http://schemas.microsoft.com/office/word/2010/wordml" w14:paraId="38CF9637" wp14:textId="77777777">
      <w:pPr>
        <w:pStyle w:val="Normal"/>
        <w:spacing w:before="120" w:after="0" w:line="276" w:lineRule="auto"/>
        <w:ind w:left="2268" w:right="137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Parágrafo único. Os técnicos responsáveis pelos pareceres conclusivos,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aqueles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outros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designados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pelo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IGAM,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deverão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acompanhar o processo</w:t>
      </w:r>
      <w:r>
        <w:rPr>
          <w:rFonts w:ascii="Arial" w:hAnsi="Arial" w:eastAsia="Arial" w:cs="Arial"/>
          <w:i/>
          <w:color w:val="000000" w:themeColor="text1"/>
          <w:spacing w:val="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 aprovação nos comitês, estando presentes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em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todas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instâncias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decisão,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para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devidos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esclarecimentos.</w:t>
      </w:r>
    </w:p>
    <w:p xmlns:wp14="http://schemas.microsoft.com/office/word/2010/wordml" w14:paraId="4D662D91" wp14:textId="77777777">
      <w:pPr>
        <w:pStyle w:val="Normal"/>
        <w:spacing w:before="112" w:after="0" w:line="276" w:lineRule="auto"/>
        <w:ind w:left="2268" w:right="207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Art.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3º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-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Os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pareceres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sobre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outorga</w:t>
      </w:r>
      <w:r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solicitada</w:t>
      </w:r>
      <w:r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serão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analisados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pela</w:t>
      </w:r>
      <w:r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Agência de Bacia ou entidade a ela equiparada, que encaminhará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suas</w:t>
      </w:r>
      <w:r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conclusões</w:t>
      </w:r>
      <w:r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para</w:t>
      </w:r>
      <w:r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decisão</w:t>
      </w:r>
      <w:r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do comitê</w:t>
      </w:r>
      <w:r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bacia</w:t>
      </w:r>
      <w:r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hidrográfica.</w:t>
      </w:r>
    </w:p>
    <w:p xmlns:wp14="http://schemas.microsoft.com/office/word/2010/wordml" w14:paraId="3C4141BA" wp14:textId="77777777">
      <w:pPr>
        <w:pStyle w:val="Normal"/>
        <w:spacing w:before="119" w:after="0" w:line="276" w:lineRule="auto"/>
        <w:ind w:left="2268" w:right="206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  <w:spacing w:val="-1"/>
        </w:rPr>
        <w:t>§1º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  <w:spacing w:val="-1"/>
        </w:rPr>
        <w:t>Na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  <w:spacing w:val="-1"/>
        </w:rPr>
        <w:t>inexistência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da</w:t>
      </w:r>
      <w:r>
        <w:rPr>
          <w:rFonts w:ascii="Arial" w:hAnsi="Arial" w:eastAsia="Arial" w:cs="Arial"/>
          <w:i/>
          <w:color w:val="000000" w:themeColor="text1"/>
          <w:spacing w:val="-16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Agência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Bacia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ou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entidade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</w:t>
      </w:r>
      <w:r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ela</w:t>
      </w:r>
      <w:r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equiparada,</w:t>
      </w:r>
      <w:r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a análise do parecer de outorga poderá ser realizada pela Câmara</w:t>
      </w:r>
      <w:r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Técnica</w:t>
      </w:r>
      <w:r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competente</w:t>
      </w:r>
      <w:r>
        <w:rPr>
          <w:rFonts w:ascii="Arial" w:hAnsi="Arial" w:eastAsia="Arial" w:cs="Arial"/>
          <w:i/>
          <w:color w:val="000000" w:themeColor="text1"/>
          <w:spacing w:val="53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do</w:t>
      </w:r>
      <w:r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respectivo</w:t>
      </w:r>
      <w:r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comitê,</w:t>
      </w:r>
      <w:r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que</w:t>
      </w:r>
      <w:r>
        <w:rPr>
          <w:rFonts w:ascii="Arial" w:hAnsi="Arial" w:eastAsia="Arial" w:cs="Arial"/>
          <w:i/>
          <w:color w:val="000000" w:themeColor="text1"/>
          <w:spacing w:val="5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encaminhará</w:t>
      </w:r>
      <w:r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suas conclusões</w:t>
      </w:r>
      <w:r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para</w:t>
      </w:r>
      <w:r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decisão em</w:t>
      </w:r>
      <w:r>
        <w:rPr>
          <w:rFonts w:ascii="Arial" w:hAnsi="Arial" w:eastAsia="Arial" w:cs="Arial"/>
          <w:i/>
          <w:color w:val="000000" w:themeColor="text1"/>
          <w:spacing w:val="-5"/>
        </w:rPr>
        <w:t xml:space="preserve"> </w:t>
      </w:r>
      <w:r>
        <w:rPr>
          <w:rFonts w:ascii="Arial" w:hAnsi="Arial" w:eastAsia="Arial" w:cs="Arial"/>
          <w:i/>
          <w:color w:val="000000" w:themeColor="text1"/>
        </w:rPr>
        <w:t>plenário.</w:t>
      </w:r>
    </w:p>
    <w:p xmlns:wp14="http://schemas.microsoft.com/office/word/2010/wordml" w14:paraId="0D0B940D" wp14:textId="77777777">
      <w:pPr>
        <w:pStyle w:val="Normal"/>
        <w:spacing w:before="119" w:after="0" w:line="276" w:lineRule="auto"/>
        <w:ind w:left="2268" w:right="206" w:hanging="0"/>
        <w:jc w:val="both"/>
        <w:rPr>
          <w:rFonts w:ascii="Arial MT" w:hAnsi="Arial MT" w:eastAsia="Arial MT" w:cs="Arial MT"/>
          <w:color w:val="000000" w:themeColor="text1"/>
          <w:sz w:val="22"/>
        </w:rPr>
      </w:pPr>
      <w:r>
        <w:rPr>
          <w:rFonts w:ascii="Arial MT" w:hAnsi="Arial MT" w:eastAsia="Arial MT" w:cs="Arial MT"/>
          <w:color w:val="000000" w:themeColor="text1"/>
          <w:sz w:val="22"/>
        </w:rPr>
      </w:r>
    </w:p>
    <w:p xmlns:wp14="http://schemas.microsoft.com/office/word/2010/wordml" w14:paraId="4C0CE80E" wp14:textId="77777777">
      <w:pPr>
        <w:pStyle w:val="ListParagraph"/>
        <w:numPr>
          <w:ilvl w:val="0"/>
          <w:numId w:val="1"/>
        </w:numPr>
        <w:tabs>
          <w:tab w:val="clear" w:pos="708"/>
          <w:tab w:val="left" w:leader="none" w:pos="567"/>
        </w:tabs>
        <w:spacing w:before="0" w:after="240" w:line="360" w:lineRule="auto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OBJETIVO</w:t>
      </w:r>
    </w:p>
    <w:p xmlns:wp14="http://schemas.microsoft.com/office/word/2010/wordml" w14:paraId="178321DC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 w:rsidR="60AED275">
        <w:rPr>
          <w:rFonts w:ascii="Arial" w:hAnsi="Arial" w:eastAsia="Arial" w:cs="Arial"/>
          <w:color w:val="000000" w:themeColor="text1"/>
        </w:rPr>
        <w:t>Análise das informações contidas no Parecer Técnico IGAM/URGA SM/OUTORGA nº. 6367/2025, datado de 21/07/2025, tendo</w:t>
      </w:r>
      <w:r w:rsidR="60AED275">
        <w:rPr>
          <w:rFonts w:ascii="Arial" w:hAnsi="Arial" w:eastAsia="Arial" w:cs="Arial"/>
          <w:color w:val="000000" w:themeColor="text1"/>
          <w:spacing w:val="1"/>
        </w:rPr>
        <w:t xml:space="preserve"> </w:t>
      </w:r>
      <w:r w:rsidR="60AED275">
        <w:rPr>
          <w:rFonts w:ascii="Arial" w:hAnsi="Arial" w:eastAsia="Arial" w:cs="Arial"/>
          <w:color w:val="000000" w:themeColor="text1"/>
        </w:rPr>
        <w:t>como empreendedor CEMA CENTRAL MINEIRA ATACADISTA LTDA CNPJ 03.083.231/0043-53, para fins de desvio total ou parcial de curso d’água, no município de Pouso Alegre/MG,</w:t>
      </w:r>
      <w:r w:rsidR="60AED275">
        <w:rPr>
          <w:rFonts w:ascii="Arial" w:hAnsi="Arial" w:eastAsia="Arial" w:cs="Arial"/>
          <w:color w:val="000000" w:themeColor="text1"/>
          <w:spacing w:val="-8"/>
        </w:rPr>
        <w:t xml:space="preserve"> </w:t>
      </w:r>
      <w:r w:rsidR="60AED275">
        <w:rPr>
          <w:rFonts w:ascii="Arial" w:hAnsi="Arial" w:eastAsia="Arial" w:cs="Arial"/>
          <w:color w:val="000000" w:themeColor="text1"/>
        </w:rPr>
        <w:t>bem como do</w:t>
      </w:r>
      <w:r w:rsidR="60AED275">
        <w:rPr>
          <w:rFonts w:ascii="Arial" w:hAnsi="Arial" w:eastAsia="Arial" w:cs="Arial"/>
          <w:color w:val="000000" w:themeColor="text1"/>
          <w:spacing w:val="-10"/>
        </w:rPr>
        <w:t xml:space="preserve"> </w:t>
      </w:r>
      <w:r w:rsidR="60AED275">
        <w:rPr>
          <w:rFonts w:ascii="Arial" w:hAnsi="Arial" w:eastAsia="Arial" w:cs="Arial"/>
          <w:color w:val="000000" w:themeColor="text1"/>
        </w:rPr>
        <w:t>Parecer</w:t>
      </w:r>
      <w:r w:rsidR="60AED275">
        <w:rPr>
          <w:rFonts w:ascii="Arial" w:hAnsi="Arial" w:eastAsia="Arial" w:cs="Arial"/>
          <w:color w:val="000000" w:themeColor="text1"/>
          <w:spacing w:val="-11"/>
        </w:rPr>
        <w:t xml:space="preserve"> </w:t>
      </w:r>
      <w:r w:rsidR="60AED275">
        <w:rPr>
          <w:rFonts w:ascii="Arial" w:hAnsi="Arial" w:eastAsia="Arial" w:cs="Arial"/>
          <w:color w:val="000000" w:themeColor="text1"/>
        </w:rPr>
        <w:t>Técnico</w:t>
      </w:r>
      <w:r w:rsidR="60AED275">
        <w:rPr>
          <w:rFonts w:ascii="Arial" w:hAnsi="Arial" w:eastAsia="Arial" w:cs="Arial"/>
          <w:color w:val="000000" w:themeColor="text1"/>
          <w:spacing w:val="-8"/>
        </w:rPr>
        <w:t xml:space="preserve"> acima referenciado</w:t>
      </w:r>
      <w:r w:rsidR="60AED275">
        <w:rPr>
          <w:rFonts w:ascii="Arial" w:hAnsi="Arial" w:eastAsia="Arial" w:cs="Arial"/>
          <w:color w:val="000000" w:themeColor="text1"/>
        </w:rPr>
        <w:t>.</w:t>
      </w:r>
    </w:p>
    <w:p xmlns:wp14="http://schemas.microsoft.com/office/word/2010/wordml" w14:paraId="0E27B00A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</w:r>
    </w:p>
    <w:p xmlns:wp14="http://schemas.microsoft.com/office/word/2010/wordml" w14:paraId="6D0E67BC" wp14:textId="77777777">
      <w:pPr>
        <w:pStyle w:val="ListParagraph"/>
        <w:numPr>
          <w:ilvl w:val="0"/>
          <w:numId w:val="1"/>
        </w:numPr>
        <w:tabs>
          <w:tab w:val="clear" w:pos="708"/>
          <w:tab w:val="left" w:leader="none" w:pos="567"/>
        </w:tabs>
        <w:spacing w:before="0" w:after="240" w:line="360" w:lineRule="auto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ANÁLISE</w:t>
      </w:r>
    </w:p>
    <w:p xmlns:wp14="http://schemas.microsoft.com/office/word/2010/wordml" w14:paraId="05B23DB6" wp14:textId="1AA9060F">
      <w:pPr>
        <w:pStyle w:val="Texto1"/>
        <w:rPr>
          <w:color w:val="000000" w:themeColor="text1"/>
        </w:rPr>
      </w:pPr>
      <w:r w:rsidRPr="60AED275" w:rsidR="60AED275">
        <w:rPr>
          <w:color w:val="000000" w:themeColor="text1" w:themeTint="FF" w:themeShade="FF"/>
        </w:rPr>
        <w:t>O requerente solicita outorga de direito de uso de recursos hídricos para desvio total ou parcial de curso d’água. A intervenção</w:t>
      </w:r>
      <w:r w:rsidRPr="60AED275" w:rsidR="60AED275">
        <w:rPr>
          <w:color w:val="000000" w:themeColor="text1" w:themeTint="FF" w:themeShade="FF"/>
        </w:rPr>
        <w:t xml:space="preserve"> será realizada na zona urbana de Pouso Alegre, MG</w:t>
      </w:r>
      <w:r w:rsidRPr="60AED275" w:rsidR="60AED275">
        <w:rPr>
          <w:color w:val="111111"/>
        </w:rPr>
        <w:t>, Av. Levino Ribeiro do Couto, 310 – Centro – CEP: 37.550-173.</w:t>
      </w:r>
    </w:p>
    <w:p xmlns:wp14="http://schemas.microsoft.com/office/word/2010/wordml" w14:paraId="3192DA6C" wp14:textId="77777777">
      <w:pPr>
        <w:pStyle w:val="Texto1"/>
        <w:rPr>
          <w:color w:val="000000" w:themeColor="text1"/>
        </w:rPr>
      </w:pPr>
      <w:r>
        <w:rPr>
          <w:rFonts w:eastAsia="Arial"/>
          <w:color w:val="111111"/>
        </w:rPr>
        <w:t>Trata-</w:t>
      </w:r>
      <w:r>
        <w:rPr>
          <w:rFonts w:eastAsia="Arial"/>
          <w:color w:val="000000" w:themeColor="text1"/>
        </w:rPr>
        <w:t xml:space="preserve">se de solicitação para </w:t>
      </w:r>
      <w:r>
        <w:rPr>
          <w:rFonts w:eastAsia="Arial"/>
          <w:color w:val="000000" w:themeColor="text1"/>
        </w:rPr>
        <w:t>desvio total de um afluente esquerdo, “sem nome” do rio Mandu. O desvio será feito por</w:t>
      </w:r>
      <w:r>
        <w:rPr>
          <w:rFonts w:eastAsia="Arial"/>
          <w:color w:val="000000" w:themeColor="text1"/>
        </w:rPr>
        <w:t xml:space="preserve"> meio d</w:t>
      </w:r>
      <w:r>
        <w:rPr>
          <w:rFonts w:eastAsia="Arial"/>
          <w:color w:val="000000" w:themeColor="text1"/>
        </w:rPr>
        <w:t>a implantação de drenagem hidráulica composta por três trechos, incluindo galeria retangular (de 1,5 m x 1,5 m, com extensão de 10m), aduela (de 1,5 m x 1,5 m, com extensão de 10 m) e canalização tubular dupla (1,5m de diâmetro (D), com 297,60m de extensão), dimensionados para suportar uma vazão máxima de cheia de 8,33 m</w:t>
      </w:r>
      <w:r>
        <w:rPr>
          <w:rFonts w:eastAsia="Arial"/>
          <w:color w:val="000000" w:themeColor="text1"/>
          <w:vertAlign w:val="superscript"/>
        </w:rPr>
        <w:t>3</w:t>
      </w:r>
      <w:r>
        <w:rPr>
          <w:rFonts w:eastAsia="Arial"/>
          <w:color w:val="000000" w:themeColor="text1"/>
        </w:rPr>
        <w:t>/s. O desvio se conecta à rede já existente da Avenida Levindo Ribeiro do Couto, seguindo pela Travessa Guido Boch até a Avenida Antônio Mariosa, onde retorna à canalização já existente que deságua no Rio Mandu. Dessa forma, a estrutura de drenagem</w:t>
      </w:r>
      <w:r>
        <w:rPr>
          <w:color w:val="000000" w:themeColor="text1"/>
        </w:rPr>
        <w:t xml:space="preserve"> permanecerá durante todo o tempo de vida útil do empreendimento. O trecho em questão se localiza nas coordenadas: </w:t>
      </w:r>
      <w:r>
        <w:rPr>
          <w:color w:val="000000" w:themeColor="text1"/>
        </w:rPr>
        <w:t xml:space="preserve">latitude </w:t>
      </w:r>
      <w:r>
        <w:rPr>
          <w:color w:val="000000" w:themeColor="text1"/>
        </w:rPr>
        <w:t xml:space="preserve">22°14'6.480"S- </w:t>
      </w:r>
      <w:r>
        <w:rPr>
          <w:color w:val="000000" w:themeColor="text1"/>
        </w:rPr>
        <w:t>L</w:t>
      </w:r>
      <w:r>
        <w:rPr>
          <w:color w:val="000000" w:themeColor="text1"/>
        </w:rPr>
        <w:t>ongitude: 45°56'4.386"O</w:t>
      </w:r>
      <w:r>
        <w:rPr/>
        <w:t xml:space="preserve"> </w:t>
      </w:r>
      <w:r>
        <w:rPr/>
        <w:t>(inicio), e latitude 22°14'9.952"S-  Longitude: 45°56'0.318"O.</w:t>
      </w:r>
    </w:p>
    <w:p xmlns:wp14="http://schemas.microsoft.com/office/word/2010/wordml" w14:paraId="5332BCED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De acordo com as informações prestadas no </w:t>
      </w:r>
      <w:r>
        <w:rPr>
          <w:rFonts w:ascii="Arial" w:hAnsi="Arial" w:eastAsia="Arial" w:cs="Arial"/>
          <w:color w:val="000000" w:themeColor="text1"/>
        </w:rPr>
        <w:t>relatório técnico</w:t>
      </w:r>
      <w:r>
        <w:rPr>
          <w:rFonts w:ascii="Arial" w:hAnsi="Arial" w:eastAsia="Arial" w:cs="Arial"/>
          <w:color w:val="000000" w:themeColor="text1"/>
        </w:rPr>
        <w:t xml:space="preserve">, o empreendimento consiste </w:t>
      </w:r>
      <w:r>
        <w:rPr>
          <w:rFonts w:ascii="Arial" w:hAnsi="Arial" w:eastAsia="Arial" w:cs="Arial"/>
          <w:color w:val="000000" w:themeColor="text1"/>
        </w:rPr>
        <w:t>na construção do</w:t>
      </w:r>
      <w:r>
        <w:rPr>
          <w:rFonts w:ascii="Arial" w:hAnsi="Arial" w:eastAsia="Arial" w:cs="Arial"/>
          <w:color w:val="000000" w:themeColor="text1"/>
        </w:rPr>
        <w:t xml:space="preserve"> Supermercado Villefort Pouso Alegre, uma vez que a CEMA CENTRAL MINEIRA ATACADISTA LTDA faz parte da rede Villefort Atacarejo. Este supermercado será instalado em uma área de terreno de quase 10.000 m</w:t>
      </w:r>
      <w:r>
        <w:rPr>
          <w:rFonts w:ascii="Arial" w:hAnsi="Arial" w:eastAsia="Arial" w:cs="Arial"/>
          <w:color w:val="000000" w:themeColor="text1"/>
          <w:vertAlign w:val="superscript"/>
        </w:rPr>
        <w:t>2</w:t>
      </w:r>
      <w:r>
        <w:rPr>
          <w:rFonts w:ascii="Arial" w:hAnsi="Arial" w:eastAsia="Arial" w:cs="Arial"/>
          <w:color w:val="000000" w:themeColor="text1"/>
          <w:position w:val="0"/>
          <w:sz w:val="24"/>
          <w:vertAlign w:val="baseline"/>
        </w:rPr>
        <w:t>.</w:t>
      </w:r>
    </w:p>
    <w:p xmlns:wp14="http://schemas.microsoft.com/office/word/2010/wordml" w14:paraId="2EA81E9E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O projeto tem como objetivo retirar a servidão de passagem do curso d'água de dentro do empreendimento, possibilitando o direito de construir em todo o terreno.</w:t>
      </w:r>
    </w:p>
    <w:p xmlns:wp14="http://schemas.microsoft.com/office/word/2010/wordml" w14:paraId="515F2ACE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240" w:after="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De acordo com os estudos </w:t>
      </w:r>
      <w:r>
        <w:rPr>
          <w:rFonts w:ascii="Arial" w:hAnsi="Arial" w:eastAsia="Arial" w:cs="Arial"/>
          <w:color w:val="000000" w:themeColor="text1"/>
        </w:rPr>
        <w:t xml:space="preserve">hidrológicos, </w:t>
      </w:r>
      <w:r>
        <w:rPr>
          <w:rFonts w:ascii="Arial" w:hAnsi="Arial" w:eastAsia="Arial" w:cs="Arial"/>
          <w:color w:val="000000" w:themeColor="text1"/>
        </w:rPr>
        <w:t>a vazão máxima de cheia calculada (8,33m</w:t>
      </w:r>
      <w:r>
        <w:rPr>
          <w:rFonts w:ascii="Arial" w:hAnsi="Arial" w:eastAsia="Arial" w:cs="Arial"/>
          <w:color w:val="000000" w:themeColor="text1"/>
          <w:vertAlign w:val="superscript"/>
        </w:rPr>
        <w:t xml:space="preserve">3 </w:t>
      </w:r>
      <w:r>
        <w:rPr>
          <w:rFonts w:ascii="Arial" w:hAnsi="Arial" w:eastAsia="Arial" w:cs="Arial"/>
          <w:color w:val="000000" w:themeColor="text1"/>
          <w:position w:val="0"/>
          <w:sz w:val="24"/>
          <w:vertAlign w:val="baseline"/>
        </w:rPr>
        <w:t>/s</w:t>
      </w:r>
      <w:r>
        <w:rPr>
          <w:rFonts w:ascii="Arial" w:hAnsi="Arial" w:eastAsia="Arial" w:cs="Arial"/>
          <w:color w:val="000000" w:themeColor="text1"/>
        </w:rPr>
        <w:t xml:space="preserve">) </w:t>
      </w:r>
      <w:r>
        <w:rPr>
          <w:rFonts w:ascii="Arial" w:hAnsi="Arial" w:eastAsia="Arial" w:cs="Arial"/>
          <w:color w:val="000000" w:themeColor="text1"/>
        </w:rPr>
        <w:t>é</w:t>
      </w:r>
      <w:r>
        <w:rPr>
          <w:rFonts w:ascii="Arial" w:hAnsi="Arial" w:eastAsia="Arial" w:cs="Arial"/>
          <w:color w:val="000000" w:themeColor="text1"/>
        </w:rPr>
        <w:t xml:space="preserve"> suportada pelas estruturas </w:t>
      </w:r>
      <w:r>
        <w:rPr>
          <w:rFonts w:ascii="Arial" w:hAnsi="Arial" w:eastAsia="Arial" w:cs="Arial"/>
          <w:color w:val="000000" w:themeColor="text1"/>
        </w:rPr>
        <w:t>propostas</w:t>
      </w:r>
      <w:r>
        <w:rPr>
          <w:rFonts w:ascii="Arial" w:hAnsi="Arial" w:eastAsia="Arial" w:cs="Arial"/>
          <w:color w:val="000000" w:themeColor="text1"/>
        </w:rPr>
        <w:t xml:space="preserve">, que foram projetadas para suportar cheias de até 50 anos de tempo de retorno. </w:t>
      </w:r>
      <w:r>
        <w:rPr>
          <w:rFonts w:ascii="Arial" w:hAnsi="Arial" w:eastAsia="Arial" w:cs="Arial"/>
          <w:color w:val="000000" w:themeColor="text1"/>
        </w:rPr>
        <w:t xml:space="preserve">Além disso, foi considerado também a manutenção da vazão mínima a Q_{7,10} a jusante. Contudo, o Parecer Técnico do Igam </w:t>
      </w:r>
      <w:r>
        <w:rPr>
          <w:rFonts w:ascii="Arial" w:hAnsi="Arial" w:eastAsia="Arial" w:cs="Arial"/>
          <w:color w:val="000000" w:themeColor="text1"/>
        </w:rPr>
        <w:t xml:space="preserve">foca estritamente nos impactos e requisitos técnicos relativos ao dimensionamento hidráulico da intervenção, e não em uma análise abrangente dos fatores ambientais inerentes ao licenciamento. </w:t>
      </w:r>
      <w:r>
        <w:rPr>
          <w:rFonts w:ascii="Arial" w:hAnsi="Arial" w:eastAsia="Arial" w:cs="Arial"/>
          <w:color w:val="000000" w:themeColor="text1"/>
        </w:rPr>
        <w:t>Vale destacar, que no parecer técnico é mencionado que o empreendimento não está vinculado a um licenciamento ambiental.</w:t>
      </w:r>
    </w:p>
    <w:p xmlns:wp14="http://schemas.microsoft.com/office/word/2010/wordml" w14:paraId="7EACC760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240" w:after="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A Deliberação Normativa do CERH nº 31/2009 estabelece que a análise do pleito da outorga deve considerar alguns conceitos, conforme trecho transcrito a seguir:</w:t>
      </w:r>
    </w:p>
    <w:p xmlns:wp14="http://schemas.microsoft.com/office/word/2010/wordml" w14:paraId="625EB1B1" wp14:textId="77777777">
      <w:pPr>
        <w:pStyle w:val="Normal"/>
        <w:spacing w:before="118" w:after="0" w:line="276" w:lineRule="auto"/>
        <w:ind w:left="2268" w:right="203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Art. 4º - Para a decisão dos processos de outorga de empreendimentos de grande porte e com potencial poluidor, os comitês de bacia hidrográfica deverão se basear nos pareceres conclusivos encaminhados pelo IGAM ou pela SUPRAM, e nos seguintes quesitos, quando houver:</w:t>
      </w:r>
    </w:p>
    <w:p xmlns:wp14="http://schemas.microsoft.com/office/word/2010/wordml" w14:paraId="2D757667" wp14:textId="77777777">
      <w:pPr>
        <w:pStyle w:val="Normal"/>
        <w:spacing w:before="118" w:after="0" w:line="276" w:lineRule="auto"/>
        <w:ind w:left="2268" w:right="203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I</w:t>
      </w:r>
      <w:r>
        <w:rPr>
          <w:rFonts w:ascii="Arial" w:hAnsi="Arial" w:eastAsia="Arial" w:cs="Arial"/>
          <w:i/>
          <w:color w:val="000000" w:themeColor="text1"/>
        </w:rPr>
        <w:tab/>
      </w:r>
      <w:r>
        <w:rPr>
          <w:rFonts w:ascii="Arial" w:hAnsi="Arial" w:eastAsia="Arial" w:cs="Arial"/>
          <w:i/>
          <w:color w:val="000000" w:themeColor="text1"/>
        </w:rPr>
        <w:t>- as prioridades de uso estabelecidas nos Planos Diretores de Recursos Hídricos ou em Deliberação dos Comitês;</w:t>
      </w:r>
    </w:p>
    <w:p xmlns:wp14="http://schemas.microsoft.com/office/word/2010/wordml" w14:paraId="627B832F" wp14:textId="77777777">
      <w:pPr>
        <w:pStyle w:val="Normal"/>
        <w:spacing w:before="118" w:after="0" w:line="276" w:lineRule="auto"/>
        <w:ind w:left="2268" w:right="203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II</w:t>
      </w:r>
      <w:r>
        <w:rPr>
          <w:rFonts w:ascii="Arial" w:hAnsi="Arial" w:eastAsia="Arial" w:cs="Arial"/>
          <w:i/>
          <w:color w:val="000000" w:themeColor="text1"/>
        </w:rPr>
        <w:tab/>
      </w:r>
      <w:r>
        <w:rPr>
          <w:rFonts w:ascii="Arial" w:hAnsi="Arial" w:eastAsia="Arial" w:cs="Arial"/>
          <w:i/>
          <w:color w:val="000000" w:themeColor="text1"/>
        </w:rPr>
        <w:t>- a classe de enquadramento do corpo de água;</w:t>
      </w:r>
    </w:p>
    <w:p xmlns:wp14="http://schemas.microsoft.com/office/word/2010/wordml" w14:paraId="1640EE08" wp14:textId="77777777">
      <w:pPr>
        <w:pStyle w:val="Normal"/>
        <w:spacing w:before="118" w:after="0" w:line="276" w:lineRule="auto"/>
        <w:ind w:left="2268" w:right="203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III</w:t>
      </w:r>
      <w:r>
        <w:rPr>
          <w:rFonts w:ascii="Arial" w:hAnsi="Arial" w:eastAsia="Arial" w:cs="Arial"/>
          <w:i/>
          <w:color w:val="000000" w:themeColor="text1"/>
        </w:rPr>
        <w:tab/>
      </w:r>
      <w:r>
        <w:rPr>
          <w:rFonts w:ascii="Arial" w:hAnsi="Arial" w:eastAsia="Arial" w:cs="Arial"/>
          <w:i/>
          <w:color w:val="000000" w:themeColor="text1"/>
        </w:rPr>
        <w:t>- a manutenção de condições adequadas ao transporte hidroviário, quando for o caso;</w:t>
      </w:r>
    </w:p>
    <w:p xmlns:wp14="http://schemas.microsoft.com/office/word/2010/wordml" w14:paraId="6B80C081" wp14:textId="77777777">
      <w:pPr>
        <w:pStyle w:val="Normal"/>
        <w:spacing w:before="118" w:after="240" w:line="276" w:lineRule="auto"/>
        <w:ind w:left="2268" w:right="203" w:hanging="0"/>
        <w:jc w:val="both"/>
        <w:rPr>
          <w:rFonts w:ascii="Arial" w:hAnsi="Arial" w:eastAsia="Arial" w:cs="Arial"/>
          <w:i/>
          <w:i/>
          <w:color w:val="000000" w:themeColor="text1"/>
        </w:rPr>
      </w:pPr>
      <w:r>
        <w:rPr>
          <w:rFonts w:ascii="Arial" w:hAnsi="Arial" w:eastAsia="Arial" w:cs="Arial"/>
          <w:i/>
          <w:color w:val="000000" w:themeColor="text1"/>
        </w:rPr>
        <w:t>IV</w:t>
      </w:r>
      <w:r>
        <w:rPr>
          <w:rFonts w:ascii="Arial" w:hAnsi="Arial" w:eastAsia="Arial" w:cs="Arial"/>
          <w:i/>
          <w:color w:val="000000" w:themeColor="text1"/>
        </w:rPr>
        <w:tab/>
      </w:r>
      <w:r>
        <w:rPr>
          <w:rFonts w:ascii="Arial" w:hAnsi="Arial" w:eastAsia="Arial" w:cs="Arial"/>
          <w:i/>
          <w:color w:val="000000" w:themeColor="text1"/>
        </w:rPr>
        <w:t>- a necessidade de preservação dos usos múltiplos, explicitada em deliberações dos respectivos comitês.</w:t>
      </w:r>
    </w:p>
    <w:p xmlns:wp14="http://schemas.microsoft.com/office/word/2010/wordml" w14:paraId="3A19CE5A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  <w:shd w:val="clear" w:fill="FFFF00"/>
        </w:rPr>
      </w:pPr>
      <w:r>
        <w:rPr>
          <w:rFonts w:ascii="Arial" w:hAnsi="Arial" w:eastAsia="Arial" w:cs="Arial"/>
          <w:color w:val="000000" w:themeColor="text1"/>
        </w:rPr>
        <w:t xml:space="preserve">Nesse sentido, cabe comentar que o Plano Diretor de Recursos Hídricos – PDRH da Bacia Hidrográfica Rio Sapucaí não estabelece, para a área objeto deste pedido de outorga, prioridades específicas de uso dos recursos hídricos. </w:t>
      </w:r>
    </w:p>
    <w:p xmlns:wp14="http://schemas.microsoft.com/office/word/2010/wordml" w14:paraId="10121943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Dessa forma, aplica-se o disposto na Lei nº 9.433/1997, segundo a qual, em situações de escassez, os usos prioritários são o consumo humano e a dessedentação de animais. No caso em questão, o desvio total </w:t>
      </w:r>
      <w:r>
        <w:rPr>
          <w:rFonts w:ascii="Arial" w:hAnsi="Arial" w:eastAsia="Arial" w:cs="Arial"/>
          <w:color w:val="000000" w:themeColor="text1"/>
        </w:rPr>
        <w:t xml:space="preserve">de curso d’água </w:t>
      </w:r>
      <w:r>
        <w:rPr>
          <w:rFonts w:ascii="Arial" w:hAnsi="Arial" w:eastAsia="Arial" w:cs="Arial"/>
          <w:color w:val="000000" w:themeColor="text1"/>
        </w:rPr>
        <w:t>é um uso não consunt</w:t>
      </w:r>
      <w:bookmarkStart w:name="_Hlk205890320" w:id="2"/>
      <w:r>
        <w:rPr>
          <w:rFonts w:ascii="Arial" w:hAnsi="Arial" w:eastAsia="Arial" w:cs="Arial"/>
          <w:color w:val="000000" w:themeColor="text1"/>
        </w:rPr>
        <w:t>iv</w:t>
      </w:r>
      <w:bookmarkEnd w:id="2"/>
      <w:r>
        <w:rPr>
          <w:rFonts w:ascii="Arial" w:hAnsi="Arial" w:eastAsia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, conforme explicitado no parecer técnico.</w:t>
      </w:r>
    </w:p>
    <w:p xmlns:wp14="http://schemas.microsoft.com/office/word/2010/wordml" w14:paraId="46EA1F96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  <w:shd w:val="clear" w:fill="FF0000"/>
        </w:rPr>
      </w:pPr>
      <w:r>
        <w:rPr>
          <w:rFonts w:ascii="Arial" w:hAnsi="Arial" w:eastAsia="Arial" w:cs="Arial"/>
          <w:color w:val="000000" w:themeColor="text1"/>
        </w:rPr>
        <w:t>Quanto ao enquadramento do curso de água em questão, a Circunscrição Hidrográfica GD5 ainda não possui este instrumento de gestão implantado.</w:t>
      </w:r>
    </w:p>
    <w:p xmlns:wp14="http://schemas.microsoft.com/office/word/2010/wordml" w14:paraId="70E747EE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No que diz respeito à manutenção de condições adequadas ao transporte hidroviário, esta não se aplica, uma vez que não é um uso identificado no trecho em análise. </w:t>
      </w:r>
    </w:p>
    <w:p xmlns:wp14="http://schemas.microsoft.com/office/word/2010/wordml" w14:paraId="6D68CD17" wp14:textId="7BC03A11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 w:rsidRPr="60AED275" w:rsidR="60AED275">
        <w:rPr>
          <w:rFonts w:ascii="Arial" w:hAnsi="Arial" w:eastAsia="Arial" w:cs="Arial"/>
          <w:color w:val="000000" w:themeColor="text1" w:themeTint="FF" w:themeShade="FF"/>
        </w:rPr>
        <w:t xml:space="preserve">Quanto à necessidade de preservação dos usos múltiplos, os estudos apresentados pelo empreendedor asseguram a capacidade hídrica da intervenção, demonstrando dimensionamento hidráulico compatível com eventos de cheia de até 50 anos de recorrência. Além disso, a intervenção atende aos critérios estabelecidos na Portaria IGAM nº 48/2019, ao manter o fluxo residual mínimo e o escoamento hídrico a jusante, sem comprometimento da disponibilidade de água para outros usos. Considera-se, ainda, que a intervenção se restringe a um trecho de drenagem urbana inserido em área consolidada, cujo curso d’água já se encontra totalmente canalizado e com sua função ecológica comprometida. </w:t>
      </w:r>
      <w:r w:rsidRPr="60AED275" w:rsidR="60AED275">
        <w:rPr>
          <w:rFonts w:ascii="Arial" w:hAnsi="Arial" w:eastAsia="Arial" w:cs="Arial"/>
          <w:color w:val="000000" w:themeColor="text1" w:themeTint="FF" w:themeShade="FF"/>
        </w:rPr>
        <w:t xml:space="preserve">Dessa forma, não implicaria prejuízo aos múltiplos usos locais e atenderia ao disposto na legislação vigente, com a ressalva da necessidade do cumprimento das condicionantes explicitadas pelo Parecer Técnico em </w:t>
      </w:r>
      <w:r w:rsidRPr="60AED275" w:rsidR="60AED275">
        <w:rPr>
          <w:rFonts w:ascii="Arial" w:hAnsi="Arial" w:eastAsia="Arial" w:cs="Arial"/>
          <w:color w:val="000000" w:themeColor="text1" w:themeTint="FF" w:themeShade="FF"/>
        </w:rPr>
        <w:t>questão, e</w:t>
      </w:r>
      <w:r w:rsidRPr="60AED275" w:rsidR="60AED275">
        <w:rPr>
          <w:rFonts w:ascii="Arial" w:hAnsi="Arial" w:eastAsia="Arial" w:cs="Arial"/>
          <w:color w:val="000000" w:themeColor="text1" w:themeTint="FF" w:themeShade="FF"/>
        </w:rPr>
        <w:t xml:space="preserve"> não dispensando </w:t>
      </w:r>
    </w:p>
    <w:p xmlns:wp14="http://schemas.microsoft.com/office/word/2010/wordml" w14:paraId="6CEE4A1E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Ressaltamos que a URGA SM realizou toda a análise do processo, tanto jurídica quanto tecnicamente, recomendando o deferimento da outorga. </w:t>
      </w:r>
    </w:p>
    <w:p xmlns:wp14="http://schemas.microsoft.com/office/word/2010/wordml" w14:paraId="60061E4C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</w:r>
    </w:p>
    <w:p xmlns:wp14="http://schemas.microsoft.com/office/word/2010/wordml" w14:paraId="55750D7F" wp14:textId="77777777">
      <w:pPr>
        <w:pStyle w:val="ListParagraph"/>
        <w:numPr>
          <w:ilvl w:val="0"/>
          <w:numId w:val="1"/>
        </w:numPr>
        <w:tabs>
          <w:tab w:val="clear" w:pos="708"/>
          <w:tab w:val="left" w:leader="none" w:pos="567"/>
        </w:tabs>
        <w:spacing w:before="0" w:after="240" w:line="360" w:lineRule="auto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CONCLUSÃO</w:t>
      </w:r>
    </w:p>
    <w:p xmlns:wp14="http://schemas.microsoft.com/office/word/2010/wordml" w14:paraId="56DA7752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Com base nos apontamentos realizados, bem como no parecer técnico apresentado pela URGA-SM e nos estudos hidrológicos e hidráulicos apresentados pelo empreendedor, com metodologia reconhecida tecnicamente, os quais avaliaram as estruturas do empreendimento, concluímos que, conforme as definições da Deliberação Normativa do CERH nº 31/2009, não há óbice ao deferimento da solicitação de outorga referente ao Processo nº </w:t>
      </w:r>
      <w:r>
        <w:rPr>
          <w:rFonts w:ascii="Arial" w:hAnsi="Arial" w:eastAsia="Arial" w:cs="Arial"/>
          <w:color w:val="000000" w:themeColor="text1"/>
        </w:rPr>
        <w:t>6367</w:t>
      </w:r>
      <w:r>
        <w:rPr>
          <w:rFonts w:ascii="Arial" w:hAnsi="Arial" w:eastAsia="Arial" w:cs="Arial"/>
          <w:color w:val="000000" w:themeColor="text1"/>
        </w:rPr>
        <w:t xml:space="preserve">/2025 pelo plenário do CBH do Rio Sapucaí, com validade de </w:t>
      </w:r>
      <w:r>
        <w:rPr>
          <w:rFonts w:ascii="Arial" w:hAnsi="Arial" w:eastAsia="Arial" w:cs="Arial"/>
          <w:color w:val="000000" w:themeColor="text1"/>
        </w:rPr>
        <w:t>35</w:t>
      </w:r>
      <w:r>
        <w:rPr>
          <w:rFonts w:ascii="Arial" w:hAnsi="Arial" w:eastAsia="Arial" w:cs="Arial"/>
          <w:color w:val="000000" w:themeColor="text1"/>
        </w:rPr>
        <w:t xml:space="preserve"> anos, como indicado pela URGA SM. </w:t>
      </w:r>
    </w:p>
    <w:p xmlns:wp14="http://schemas.microsoft.com/office/word/2010/wordml" w14:paraId="4F39C017" wp14:textId="77777777">
      <w:pPr>
        <w:pStyle w:val="ListParagraph"/>
        <w:numPr>
          <w:ilvl w:val="0"/>
          <w:numId w:val="1"/>
        </w:numPr>
        <w:tabs>
          <w:tab w:val="clear" w:pos="708"/>
          <w:tab w:val="left" w:leader="none" w:pos="567"/>
        </w:tabs>
        <w:spacing w:before="0" w:after="240" w:line="360" w:lineRule="auto"/>
        <w:contextualSpacing/>
        <w:jc w:val="both"/>
        <w:rPr>
          <w:rFonts w:ascii="Arial" w:hAnsi="Arial" w:eastAsia="Arial" w:cs="Arial"/>
          <w:b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ENCAMINHAMENTO</w:t>
      </w:r>
    </w:p>
    <w:p xmlns:wp14="http://schemas.microsoft.com/office/word/2010/wordml" w14:paraId="72C78BE0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Esta Nota Técnica deverá ser encaminhada à Plenária do CBH Rio Sapucaí para deliberação quanto à outorga para desvio parcial ou total de curso de água, no município de Pouso Alegre/MG, no que lhe compete.</w:t>
      </w:r>
    </w:p>
    <w:p xmlns:wp14="http://schemas.microsoft.com/office/word/2010/wordml" w14:paraId="44EAFD9C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center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</w:r>
    </w:p>
    <w:p xmlns:wp14="http://schemas.microsoft.com/office/word/2010/wordml" w14:paraId="7FB80EEE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center"/>
        <w:rPr>
          <w:rFonts w:ascii="Arial" w:hAnsi="Arial" w:eastAsia="Arial" w:cs="Arial"/>
          <w:color w:val="000000" w:themeColor="text1"/>
          <w:shd w:val="clear" w:fill="FFFF00"/>
        </w:rPr>
      </w:pPr>
      <w:r>
        <w:rPr>
          <w:rFonts w:ascii="Arial" w:hAnsi="Arial" w:eastAsia="Arial" w:cs="Arial"/>
          <w:color w:val="000000" w:themeColor="text1" w:themeTint="ff" w:themeShade="ff"/>
        </w:rPr>
        <w:t xml:space="preserve">Poço de Caldas, </w:t>
      </w:r>
      <w:r>
        <w:rPr>
          <w:rFonts w:ascii="Arial" w:hAnsi="Arial" w:eastAsia="Arial" w:cs="Arial"/>
          <w:color w:val="000000" w:themeColor="text1" w:themeTint="ff" w:themeShade="ff"/>
        </w:rPr>
        <w:t>24</w:t>
      </w:r>
      <w:r>
        <w:rPr>
          <w:rFonts w:ascii="Arial" w:hAnsi="Arial" w:eastAsia="Arial" w:cs="Arial"/>
          <w:color w:val="000000" w:themeColor="text1" w:themeTint="ff" w:themeShade="ff"/>
        </w:rPr>
        <w:t xml:space="preserve"> de outubro de 2025.</w:t>
      </w:r>
    </w:p>
    <w:p xmlns:wp14="http://schemas.microsoft.com/office/word/2010/wordml" w14:paraId="4B94D5A5" wp14:textId="77777777">
      <w:pPr>
        <w:pStyle w:val="Normal"/>
        <w:tabs>
          <w:tab w:val="clear" w:pos="708"/>
          <w:tab w:val="left" w:leader="none" w:pos="567"/>
          <w:tab w:val="left" w:leader="none" w:pos="1134"/>
          <w:tab w:val="left" w:leader="none" w:pos="1843"/>
        </w:tabs>
        <w:spacing w:before="0" w:after="240" w:line="360" w:lineRule="auto"/>
        <w:ind w:left="567" w:hanging="0"/>
        <w:jc w:val="both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</w:r>
    </w:p>
    <w:tbl>
      <w:tblPr>
        <w:tblW w:w="8153" w:type="dxa"/>
        <w:jc w:val="left"/>
        <w:tblInd w:w="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77"/>
        <w:gridCol w:w="4075"/>
      </w:tblGrid>
      <w:tr xmlns:wp14="http://schemas.microsoft.com/office/word/2010/wordml" w:rsidTr="60AED275" w14:paraId="0E530E45" wp14:textId="77777777">
        <w:trPr>
          <w:trHeight w:val="1" w:hRule="atLeast"/>
        </w:trPr>
        <w:tc>
          <w:tcPr>
            <w:tcW w:w="4077" w:type="dxa"/>
            <w:tcBorders/>
            <w:shd w:val="clear" w:color="auto" w:fill="FFFFFF" w:themeFill="background1"/>
            <w:tcMar/>
          </w:tcPr>
          <w:p w14:paraId="0E9CF232" wp14:textId="77777777">
            <w:pPr>
              <w:pStyle w:val="Normal"/>
              <w:widowControl w:val="false"/>
              <w:tabs>
                <w:tab w:val="clear" w:pos="708"/>
                <w:tab w:val="left" w:leader="none" w:pos="0"/>
                <w:tab w:val="left" w:leader="none" w:pos="567"/>
              </w:tabs>
              <w:spacing w:before="0" w:after="0" w:line="360" w:lineRule="auto"/>
              <w:jc w:val="center"/>
              <w:rPr>
                <w:rFonts w:ascii="Segoe UI" w:hAnsi="Segoe UI" w:eastAsia="Segoe UI" w:cs="Segoe UI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(assinado eletronicamente)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br/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Ellen da Silva Fonte</w:t>
            </w:r>
          </w:p>
          <w:p w14:paraId="24943062" wp14:textId="77777777">
            <w:pPr>
              <w:pStyle w:val="Normal"/>
              <w:widowControl w:val="false"/>
              <w:tabs>
                <w:tab w:val="clear" w:pos="708"/>
                <w:tab w:val="left" w:leader="none" w:pos="0"/>
                <w:tab w:val="left" w:leader="none" w:pos="567"/>
              </w:tabs>
              <w:spacing w:before="0" w:after="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color w:val="000000" w:themeColor="text1"/>
                <w:sz w:val="22"/>
                <w:szCs w:val="22"/>
              </w:rPr>
              <w:t>Especialista em Recursos Hídricos AGEGRANDE</w:t>
            </w:r>
          </w:p>
        </w:tc>
        <w:tc>
          <w:tcPr>
            <w:tcW w:w="4075" w:type="dxa"/>
            <w:tcBorders/>
            <w:shd w:val="clear" w:color="auto" w:fill="FFFFFF" w:themeFill="background1"/>
            <w:tcMar/>
          </w:tcPr>
          <w:p w14:paraId="45F3B0E2" wp14:textId="77777777">
            <w:pPr>
              <w:pStyle w:val="Normal"/>
              <w:widowControl w:val="false"/>
              <w:tabs>
                <w:tab w:val="clear" w:pos="708"/>
                <w:tab w:val="left" w:leader="none" w:pos="567"/>
                <w:tab w:val="left" w:leader="none" w:pos="774"/>
              </w:tabs>
              <w:spacing w:before="0" w:after="0" w:line="360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(assinado eletronicamente)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br/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Marina Assis</w:t>
            </w:r>
          </w:p>
          <w:p w14:paraId="73E31292" wp14:textId="77777777">
            <w:pPr>
              <w:pStyle w:val="Normal"/>
              <w:widowControl w:val="false"/>
              <w:tabs>
                <w:tab w:val="clear" w:pos="708"/>
                <w:tab w:val="left" w:leader="none" w:pos="567"/>
                <w:tab w:val="left" w:leader="none" w:pos="774"/>
              </w:tabs>
              <w:spacing w:before="0" w:after="0"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color w:val="000000" w:themeColor="text1"/>
                <w:sz w:val="22"/>
                <w:szCs w:val="22"/>
              </w:rPr>
              <w:t>Assessora – Unidade Resende</w:t>
            </w:r>
          </w:p>
        </w:tc>
      </w:tr>
      <w:tr xmlns:wp14="http://schemas.microsoft.com/office/word/2010/wordml" w:rsidTr="60AED275" w14:paraId="5D339B05" wp14:textId="77777777">
        <w:trPr>
          <w:trHeight w:val="1" w:hRule="atLeast"/>
        </w:trPr>
        <w:tc>
          <w:tcPr>
            <w:tcW w:w="8152" w:type="dxa"/>
            <w:gridSpan w:val="2"/>
            <w:tcBorders/>
            <w:shd w:val="clear" w:color="auto" w:fill="FFFFFF" w:themeFill="background1"/>
            <w:tcMar/>
          </w:tcPr>
          <w:p w14:paraId="3DEEC669" wp14:textId="77777777">
            <w:pPr>
              <w:pStyle w:val="Normal"/>
              <w:widowControl w:val="false"/>
              <w:tabs>
                <w:tab w:val="clear" w:pos="708"/>
                <w:tab w:val="left" w:leader="none" w:pos="567"/>
                <w:tab w:val="left" w:leader="none" w:pos="774"/>
              </w:tabs>
              <w:spacing w:before="0" w:after="0" w:line="360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</w:rPr>
            </w:pPr>
            <w:r>
              <w:rPr>
                <w:rFonts w:eastAsia="Calibri" w:cs="Calibri"/>
                <w:color w:val="000000" w:themeColor="text1"/>
                <w:sz w:val="22"/>
              </w:rPr>
            </w:r>
          </w:p>
          <w:p w14:paraId="529D88C1" wp14:textId="190DCAB9">
            <w:pPr>
              <w:pStyle w:val="Normal"/>
              <w:widowControl w:val="0"/>
              <w:tabs>
                <w:tab w:val="clear" w:pos="708"/>
                <w:tab w:val="left" w:leader="none" w:pos="567"/>
                <w:tab w:val="left" w:leader="none" w:pos="774"/>
              </w:tabs>
              <w:spacing w:before="0" w:after="0" w:line="276" w:lineRule="auto"/>
              <w:jc w:val="center"/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</w:tbl>
    <w:p xmlns:wp14="http://schemas.microsoft.com/office/word/2010/wordml" w14:paraId="3656B9AB" wp14:textId="77777777">
      <w:pPr>
        <w:pStyle w:val="Normal"/>
        <w:spacing w:before="0" w:after="0" w:line="259" w:lineRule="auto"/>
        <w:rPr>
          <w:rFonts w:ascii="Arial" w:hAnsi="Arial" w:eastAsia="Arial" w:cs="Arial"/>
          <w:b/>
          <w:b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13412649"/>
    </w:sdtPr>
    <w:sdtContent>
      <w:p xmlns:wp14="http://schemas.microsoft.com/office/word/2010/wordml" w14:paraId="5258BE6D" wp14:textId="77777777"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 xmlns:wp14="http://schemas.microsoft.com/office/word/2010/wordml" w14:paraId="049F31CB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2FA1EDD1" wp14:textId="77777777">
    <w:pPr>
      <w:pStyle w:val="NormalWeb"/>
      <w:spacing w:before="280" w:after="280"/>
      <w:rPr/>
    </w:pPr>
    <w:r>
      <w:rPr/>
      <w:drawing>
        <wp:anchor xmlns:wp14="http://schemas.microsoft.com/office/word/2010/wordprocessingDrawing" distT="0" distB="0" distL="0" distR="0" simplePos="0" relativeHeight="7" behindDoc="1" locked="0" layoutInCell="0" allowOverlap="1" wp14:anchorId="38C4CFC0" wp14:editId="7777777">
          <wp:simplePos x="0" y="0"/>
          <wp:positionH relativeFrom="column">
            <wp:posOffset>4114800</wp:posOffset>
          </wp:positionH>
          <wp:positionV relativeFrom="paragraph">
            <wp:posOffset>-267335</wp:posOffset>
          </wp:positionV>
          <wp:extent cx="1174750" cy="652780"/>
          <wp:effectExtent l="0" t="0" r="0" b="0"/>
          <wp:wrapNone/>
          <wp:docPr id="1" name="Imagem 30857952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08579528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13" behindDoc="1" locked="0" layoutInCell="0" allowOverlap="1" wp14:anchorId="668E861C" wp14:editId="7777777">
          <wp:simplePos x="0" y="0"/>
          <wp:positionH relativeFrom="column">
            <wp:posOffset>75565</wp:posOffset>
          </wp:positionH>
          <wp:positionV relativeFrom="paragraph">
            <wp:posOffset>-246380</wp:posOffset>
          </wp:positionV>
          <wp:extent cx="1174750" cy="602615"/>
          <wp:effectExtent l="0" t="0" r="0" b="0"/>
          <wp:wrapNone/>
          <wp:docPr id="2" name="Imagem 15872257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58722576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45FB0818" wp14:textId="77777777"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2d9b17db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4af147d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  <w14:docId w14:val="51C0A005"/>
  <w15:docId w15:val="{51AF51FF-71C2-45CD-B0A6-54EE45FB197F}"/>
  <w:rsids>
    <w:rsidRoot w:val="09069C10"/>
    <w:rsid w:val="09069C10"/>
    <w:rsid w:val="0CC3CC51"/>
    <w:rsid w:val="0CC3CC51"/>
    <w:rsid w:val="11207571"/>
    <w:rsid w:val="172D7C19"/>
    <w:rsid w:val="2ED0E59A"/>
    <w:rsid w:val="31310532"/>
    <w:rsid w:val="3140C7BF"/>
    <w:rsid w:val="34276D3C"/>
    <w:rsid w:val="37169DBF"/>
    <w:rsid w:val="55C04A37"/>
    <w:rsid w:val="60AED27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" w:cs=""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76" w:lineRule="auto"/>
      <w:jc w:val="left"/>
    </w:pPr>
    <w:rPr>
      <w:rFonts w:ascii="Calibri" w:hAnsi="Calibri" w:eastAsia="" w:cs="" w:asciiTheme="minorHAnsi" w:hAnsiTheme="minorHAnsi" w:eastAsiaTheme="minorEastAsia" w:cstheme="minorBidi"/>
      <w:color w:val="auto"/>
      <w:kern w:val="2"/>
      <w:sz w:val="24"/>
      <w:szCs w:val="24"/>
      <w:lang w:val="pt-BR" w:eastAsia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1b0643"/>
    <w:rPr>
      <w:rFonts w:ascii="Times New Roman" w:hAnsi="Times New Roman" w:eastAsia="Times New Roman" w:cs="Times New Roman"/>
      <w:kern w:val="0"/>
      <w:szCs w:val="20"/>
    </w:rPr>
  </w:style>
  <w:style w:type="character" w:styleId="Texto1Char" w:customStyle="1">
    <w:name w:val="Texto 1. Char"/>
    <w:basedOn w:val="DefaultParagraphFont"/>
    <w:link w:val="Texto1"/>
    <w:qFormat/>
    <w:rsid w:val="003a3c22"/>
    <w:rPr>
      <w:rFonts w:ascii="Arial" w:hAnsi="Arial" w:eastAsia="Calibri" w:cs="Arial" w:eastAsiaTheme="minorHAnsi"/>
      <w:kern w:val="0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91504e"/>
    <w:rPr/>
  </w:style>
  <w:style w:type="character" w:styleId="RodapChar" w:customStyle="1">
    <w:name w:val="Rodapé Char"/>
    <w:basedOn w:val="DefaultParagraphFont"/>
    <w:uiPriority w:val="99"/>
    <w:qFormat/>
    <w:rsid w:val="0091504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1b0643"/>
    <w:pPr>
      <w:spacing w:before="0" w:after="0" w:line="240" w:lineRule="auto"/>
      <w:ind w:right="-801" w:hanging="0"/>
      <w:jc w:val="both"/>
    </w:pPr>
    <w:rPr>
      <w:rFonts w:ascii="Times New Roman" w:hAnsi="Times New Roman" w:eastAsia="Times New Roman" w:cs="Times New Roman"/>
      <w:kern w:val="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b0643"/>
    <w:pPr>
      <w:spacing w:before="0" w:after="160"/>
      <w:ind w:left="720" w:hanging="0"/>
      <w:contextualSpacing/>
    </w:pPr>
    <w:rPr/>
  </w:style>
  <w:style w:type="paragraph" w:styleId="Texto1" w:customStyle="1">
    <w:name w:val="Texto 1."/>
    <w:basedOn w:val="Normal"/>
    <w:link w:val="Texto1Char"/>
    <w:qFormat/>
    <w:rsid w:val="003a3c22"/>
    <w:pPr>
      <w:widowControl w:val="false"/>
      <w:tabs>
        <w:tab w:val="clear" w:pos="708"/>
        <w:tab w:val="left" w:leader="none" w:pos="567"/>
        <w:tab w:val="left" w:leader="none" w:pos="1134"/>
        <w:tab w:val="left" w:leader="none" w:pos="1843"/>
      </w:tabs>
      <w:spacing w:before="0" w:after="240" w:line="360" w:lineRule="auto"/>
      <w:ind w:left="567" w:hanging="0"/>
      <w:jc w:val="both"/>
    </w:pPr>
    <w:rPr>
      <w:rFonts w:ascii="Arial" w:hAnsi="Arial" w:eastAsia="Calibri" w:cs="Arial" w:eastAsiaTheme="minorHAnsi"/>
      <w:kern w:val="0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1504e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Rodap">
    <w:name w:val="Footer"/>
    <w:basedOn w:val="Normal"/>
    <w:link w:val="RodapChar"/>
    <w:uiPriority w:val="99"/>
    <w:unhideWhenUsed/>
    <w:rsid w:val="0091504e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NormalWeb">
    <w:name w:val="Normal (Web)"/>
    <w:basedOn w:val="Normal"/>
    <w:uiPriority w:val="99"/>
    <w:semiHidden/>
    <w:unhideWhenUsed/>
    <w:qFormat/>
    <w:rsid w:val="0091504e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customXml" Target="../customXml/item1.xml" Id="rId8" /><Relationship Type="http://schemas.openxmlformats.org/officeDocument/2006/relationships/customXml" Target="../customXml/item2.xml" Id="rId9" /><Relationship Type="http://schemas.openxmlformats.org/officeDocument/2006/relationships/customXml" Target="../customXml/item3.xml" Id="rId10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74fc0ec5e584ee446b80356779d20d36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d35f9f0394a6636888ca96948e0cd1bf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6D810-86C5-49EC-A457-D0D76875E134}"/>
</file>

<file path=customXml/itemProps2.xml><?xml version="1.0" encoding="utf-8"?>
<ds:datastoreItem xmlns:ds="http://schemas.openxmlformats.org/officeDocument/2006/customXml" ds:itemID="{4DEAE06D-5836-4D57-98E7-529775E98A62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0CCB20DD-1EF7-48C9-BF2F-AB3F1FA74D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</dc:creator>
  <dc:description/>
  <lastModifiedBy>Ellen da Silva Fonte</lastModifiedBy>
  <revision>7</revision>
  <dcterms:created xsi:type="dcterms:W3CDTF">2025-10-10T19:31:00.0000000Z</dcterms:created>
  <dcterms:modified xsi:type="dcterms:W3CDTF">2025-10-28T11:58:53.3120569Z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