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521F" w:rsidR="00E77060" w:rsidP="511C0D02" w:rsidRDefault="00483322" w14:paraId="3E0DE2B1" w14:textId="583B8B2F">
      <w:pPr>
        <w:spacing w:line="36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8"/>
          <w:szCs w:val="28"/>
        </w:rPr>
      </w:pPr>
      <w:r w:rsidRPr="03858961" w:rsidR="0048332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NOTA TÉCNICA Nº </w:t>
      </w:r>
      <w:r w:rsidRPr="03858961" w:rsidR="6FF3DA4A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00</w:t>
      </w:r>
      <w:r w:rsidRPr="03858961" w:rsidR="15FA4D7A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03858961" w:rsidR="41B5D849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/2025/CG_05_24</w:t>
      </w:r>
    </w:p>
    <w:p w:rsidRPr="0053521F" w:rsidR="00E77060" w:rsidP="0053521F" w:rsidRDefault="00483322" w14:paraId="3E0DE2B2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Assunto:</w:t>
      </w:r>
      <w:r w:rsidRPr="0053521F">
        <w:rPr>
          <w:rFonts w:ascii="Arial" w:hAnsi="Arial" w:eastAsia="Arial" w:cs="Arial"/>
          <w:b/>
          <w:color w:val="000000" w:themeColor="text1"/>
        </w:rPr>
        <w:tab/>
      </w:r>
      <w:r w:rsidRPr="0053521F">
        <w:rPr>
          <w:rFonts w:ascii="Arial" w:hAnsi="Arial" w:eastAsia="Arial" w:cs="Arial"/>
          <w:color w:val="000000" w:themeColor="text1"/>
        </w:rPr>
        <w:t>Análise de pedido de outorga.</w:t>
      </w:r>
    </w:p>
    <w:p w:rsidRPr="0053521F" w:rsidR="00E77060" w:rsidP="0053521F" w:rsidRDefault="00483322" w14:paraId="3E0DE2B3" w14:textId="300757CC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b w:val="0"/>
          <w:bCs w:val="0"/>
          <w:color w:val="000000" w:themeColor="text1"/>
          <w:shd w:val="clear" w:color="auto" w:fill="FF0000"/>
        </w:rPr>
      </w:pPr>
      <w:r w:rsidRPr="511C0D02" w:rsidR="0048332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Referência:</w:t>
      </w:r>
      <w:r>
        <w:tab/>
      </w:r>
      <w:bookmarkStart w:name="_Hlk209604178" w:id="0"/>
      <w:r w:rsidRPr="511C0D02" w:rsidR="00483322">
        <w:rPr>
          <w:rFonts w:ascii="Arial" w:hAnsi="Arial" w:eastAsia="Arial" w:cs="Arial"/>
          <w:color w:val="000000" w:themeColor="text1" w:themeTint="FF" w:themeShade="FF"/>
        </w:rPr>
        <w:t xml:space="preserve">Processo de outorga </w:t>
      </w:r>
      <w:r w:rsidRPr="511C0D02" w:rsidR="0031036A">
        <w:rPr>
          <w:rFonts w:ascii="Arial" w:hAnsi="Arial" w:eastAsia="Arial" w:cs="Arial"/>
          <w:color w:val="000000" w:themeColor="text1" w:themeTint="FF" w:themeShade="FF"/>
        </w:rPr>
        <w:t xml:space="preserve">nº. </w:t>
      </w:r>
      <w:r w:rsidRPr="511C0D02" w:rsidR="00482E7D">
        <w:rPr>
          <w:rFonts w:ascii="Arial" w:hAnsi="Arial" w:eastAsia="Arial" w:cs="Arial"/>
          <w:color w:val="000000" w:themeColor="text1" w:themeTint="FF" w:themeShade="FF"/>
        </w:rPr>
        <w:t>41590/2024</w:t>
      </w:r>
      <w:r w:rsidRPr="511C0D02" w:rsidR="00483322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; Processo SEI</w:t>
      </w:r>
      <w:r w:rsidRPr="511C0D02" w:rsidR="2C6F104B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nº:</w:t>
      </w:r>
      <w:r w:rsidRPr="511C0D02" w:rsidR="00483322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</w:t>
      </w:r>
      <w:r w:rsidRPr="511C0D02" w:rsidR="750F37AA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</w:t>
      </w:r>
      <w:bookmarkEnd w:id="0"/>
      <w:r w:rsidRPr="511C0D02" w:rsidR="750F37AA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2090.01.0013458/2024-61</w:t>
      </w:r>
      <w:r w:rsidRPr="511C0D02" w:rsidR="124DF701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.</w:t>
      </w:r>
    </w:p>
    <w:p w:rsidRPr="0053521F" w:rsidR="001B0643" w:rsidP="0053521F" w:rsidRDefault="001B0643" w14:paraId="4A8EF4E5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Pr="0053521F" w:rsidR="00442953" w:rsidTr="511C0D02" w14:paraId="129AC29B" w14:textId="77777777">
        <w:trPr>
          <w:trHeight w:val="454"/>
        </w:trPr>
        <w:tc>
          <w:tcPr>
            <w:tcW w:w="4395" w:type="dxa"/>
            <w:tcMar/>
          </w:tcPr>
          <w:p w:rsidRPr="0053521F" w:rsidR="001B0643" w:rsidP="0053521F" w:rsidRDefault="001B0643" w14:paraId="18A84577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INSTRUMENTO CONTRATUAL:</w:t>
            </w:r>
          </w:p>
        </w:tc>
        <w:tc>
          <w:tcPr>
            <w:tcW w:w="4677" w:type="dxa"/>
            <w:tcMar/>
          </w:tcPr>
          <w:p w:rsidRPr="0053521F" w:rsidR="001B0643" w:rsidP="0053521F" w:rsidRDefault="001B0643" w14:paraId="0A7DAE77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color w:val="000000" w:themeColor="text1"/>
                <w:szCs w:val="24"/>
              </w:rPr>
              <w:t>N/A</w:t>
            </w:r>
          </w:p>
        </w:tc>
      </w:tr>
      <w:tr w:rsidRPr="0053521F" w:rsidR="00442953" w:rsidTr="511C0D02" w14:paraId="153092A8" w14:textId="77777777">
        <w:trPr>
          <w:trHeight w:val="454"/>
        </w:trPr>
        <w:tc>
          <w:tcPr>
            <w:tcW w:w="4395" w:type="dxa"/>
            <w:tcMar/>
          </w:tcPr>
          <w:p w:rsidRPr="0053521F" w:rsidR="001B0643" w:rsidP="0053521F" w:rsidRDefault="001B0643" w14:paraId="562870B3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OBJETO:</w:t>
            </w:r>
          </w:p>
        </w:tc>
        <w:tc>
          <w:tcPr>
            <w:tcW w:w="4677" w:type="dxa"/>
            <w:tcMar/>
          </w:tcPr>
          <w:p w:rsidRPr="0053521F" w:rsidR="001B0643" w:rsidP="0053521F" w:rsidRDefault="001B0643" w14:paraId="68786C4D" w14:textId="678AF7F1">
            <w:pPr>
              <w:pStyle w:val="Corpodetexto"/>
              <w:spacing w:line="360" w:lineRule="auto"/>
              <w:ind w:right="-1"/>
              <w:rPr>
                <w:rFonts w:ascii="Arial" w:hAnsi="Arial" w:cs="Arial"/>
                <w:color w:val="000000" w:themeColor="text1"/>
              </w:rPr>
            </w:pPr>
            <w:r w:rsidRPr="0053521F">
              <w:rPr>
                <w:rFonts w:ascii="Arial" w:hAnsi="Arial" w:cs="Arial"/>
                <w:color w:val="000000" w:themeColor="text1"/>
              </w:rPr>
              <w:t xml:space="preserve">Solicitação de outorga </w:t>
            </w:r>
            <w:r w:rsidRPr="0053521F" w:rsidR="0031036A">
              <w:rPr>
                <w:rFonts w:ascii="Arial" w:hAnsi="Arial" w:cs="Arial"/>
                <w:color w:val="000000" w:themeColor="text1"/>
              </w:rPr>
              <w:t xml:space="preserve">para captação de água subterrânea para fins de rebaixamento </w:t>
            </w:r>
            <w:r w:rsidRPr="0053521F" w:rsidR="00482E7D">
              <w:rPr>
                <w:rFonts w:ascii="Arial" w:hAnsi="Arial" w:cs="Arial"/>
                <w:color w:val="000000" w:themeColor="text1"/>
              </w:rPr>
              <w:t>de nível de água para</w:t>
            </w:r>
            <w:r w:rsidRPr="0053521F" w:rsidR="0031036A">
              <w:rPr>
                <w:rFonts w:ascii="Arial" w:hAnsi="Arial" w:cs="Arial"/>
                <w:color w:val="000000" w:themeColor="text1"/>
              </w:rPr>
              <w:t xml:space="preserve"> obras civis</w:t>
            </w:r>
            <w:r w:rsidRPr="0053521F" w:rsidR="00DF6891">
              <w:rPr>
                <w:rFonts w:ascii="Arial" w:hAnsi="Arial" w:cs="Arial"/>
                <w:color w:val="000000" w:themeColor="text1"/>
              </w:rPr>
              <w:t xml:space="preserve"> (24)</w:t>
            </w:r>
            <w:r w:rsidRPr="0053521F" w:rsidR="00557BE0">
              <w:rPr>
                <w:rFonts w:ascii="Arial" w:hAnsi="Arial" w:cs="Arial"/>
                <w:color w:val="000000" w:themeColor="text1"/>
              </w:rPr>
              <w:t>,</w:t>
            </w:r>
            <w:r w:rsidRPr="0053521F">
              <w:rPr>
                <w:rFonts w:ascii="Arial" w:hAnsi="Arial" w:cs="Arial"/>
                <w:color w:val="000000" w:themeColor="text1"/>
              </w:rPr>
              <w:t xml:space="preserve"> no município de </w:t>
            </w:r>
            <w:r w:rsidRPr="0053521F" w:rsidR="00482E7D">
              <w:rPr>
                <w:rFonts w:ascii="Arial" w:hAnsi="Arial" w:cs="Arial"/>
                <w:color w:val="000000" w:themeColor="text1"/>
              </w:rPr>
              <w:t>Alpinópolis</w:t>
            </w:r>
            <w:r w:rsidRPr="0053521F">
              <w:rPr>
                <w:rFonts w:ascii="Arial" w:hAnsi="Arial" w:cs="Arial"/>
                <w:color w:val="000000" w:themeColor="text1"/>
              </w:rPr>
              <w:t>/MG.</w:t>
            </w:r>
          </w:p>
          <w:p w:rsidRPr="0053521F" w:rsidR="001B0643" w:rsidP="0053521F" w:rsidRDefault="001B0643" w14:paraId="6EDFA7AD" w14:textId="77777777">
            <w:pPr>
              <w:pStyle w:val="Corpodetexto"/>
              <w:spacing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Pr="0053521F" w:rsidR="00442953" w:rsidTr="511C0D02" w14:paraId="605D69F2" w14:textId="77777777">
        <w:trPr>
          <w:trHeight w:val="454"/>
        </w:trPr>
        <w:tc>
          <w:tcPr>
            <w:tcW w:w="4395" w:type="dxa"/>
            <w:tcMar/>
          </w:tcPr>
          <w:p w:rsidRPr="0053521F" w:rsidR="001B0643" w:rsidP="0053521F" w:rsidRDefault="001B0643" w14:paraId="037705C9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EMPRESA:</w:t>
            </w:r>
          </w:p>
        </w:tc>
        <w:tc>
          <w:tcPr>
            <w:tcW w:w="4677" w:type="dxa"/>
            <w:tcMar/>
          </w:tcPr>
          <w:p w:rsidRPr="0053521F" w:rsidR="00482E7D" w:rsidP="0053521F" w:rsidRDefault="00482E7D" w14:paraId="7811AC44" w14:textId="77777777">
            <w:pPr>
              <w:pStyle w:val="Corpodetexto"/>
              <w:spacing w:line="360" w:lineRule="auto"/>
              <w:ind w:right="-1"/>
              <w:rPr>
                <w:rFonts w:ascii="Arial" w:hAnsi="Arial" w:cs="Arial"/>
                <w:color w:val="000000" w:themeColor="text1"/>
              </w:rPr>
            </w:pPr>
            <w:r w:rsidRPr="0053521F">
              <w:rPr>
                <w:rFonts w:ascii="Arial" w:hAnsi="Arial" w:cs="Arial"/>
                <w:color w:val="000000" w:themeColor="text1"/>
              </w:rPr>
              <w:t>DEPARTAMENTO NACIONAL DE</w:t>
            </w:r>
          </w:p>
          <w:p w:rsidRPr="0053521F" w:rsidR="00482E7D" w:rsidP="0053521F" w:rsidRDefault="00482E7D" w14:paraId="6FC37C6B" w14:textId="77777777">
            <w:pPr>
              <w:pStyle w:val="Corpodetexto"/>
              <w:spacing w:line="360" w:lineRule="auto"/>
              <w:ind w:right="-1"/>
              <w:jc w:val="left"/>
              <w:rPr>
                <w:rFonts w:ascii="Arial" w:hAnsi="Arial" w:cs="Arial"/>
                <w:color w:val="000000" w:themeColor="text1"/>
              </w:rPr>
            </w:pPr>
            <w:r w:rsidRPr="0053521F">
              <w:rPr>
                <w:rFonts w:ascii="Arial" w:hAnsi="Arial" w:cs="Arial"/>
                <w:color w:val="000000" w:themeColor="text1"/>
              </w:rPr>
              <w:t xml:space="preserve">INFRAESTRUTURA EM TRANSPORTES – DNIT </w:t>
            </w:r>
          </w:p>
          <w:p w:rsidRPr="0053521F" w:rsidR="001B0643" w:rsidP="0053521F" w:rsidRDefault="001B0643" w14:paraId="26713726" w14:textId="1C983D05">
            <w:pPr>
              <w:pStyle w:val="Corpodetexto"/>
              <w:spacing w:line="360" w:lineRule="auto"/>
              <w:ind w:right="-1"/>
              <w:jc w:val="lef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3521F">
              <w:rPr>
                <w:rFonts w:ascii="Arial" w:hAnsi="Arial" w:cs="Arial"/>
                <w:color w:val="000000" w:themeColor="text1"/>
              </w:rPr>
              <w:t>C</w:t>
            </w:r>
            <w:r w:rsidRPr="0053521F" w:rsidR="00DF6891">
              <w:rPr>
                <w:rFonts w:ascii="Arial" w:hAnsi="Arial" w:cs="Arial"/>
                <w:color w:val="000000" w:themeColor="text1"/>
              </w:rPr>
              <w:t>NPJ</w:t>
            </w:r>
            <w:r w:rsidRPr="0053521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3521F" w:rsidR="00DF689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3521F" w:rsidR="00482E7D">
              <w:rPr>
                <w:rFonts w:ascii="Arial" w:hAnsi="Arial" w:cs="Arial"/>
                <w:color w:val="000000" w:themeColor="text1"/>
              </w:rPr>
              <w:t>04.892.707</w:t>
            </w:r>
            <w:proofErr w:type="gramEnd"/>
            <w:r w:rsidRPr="0053521F" w:rsidR="00482E7D">
              <w:rPr>
                <w:rFonts w:ascii="Arial" w:hAnsi="Arial" w:cs="Arial"/>
                <w:color w:val="000000" w:themeColor="text1"/>
              </w:rPr>
              <w:t>/0024-05</w:t>
            </w:r>
          </w:p>
        </w:tc>
      </w:tr>
      <w:tr w:rsidRPr="0053521F" w:rsidR="00442953" w:rsidTr="511C0D02" w14:paraId="1004C751" w14:textId="77777777">
        <w:trPr>
          <w:trHeight w:val="454"/>
        </w:trPr>
        <w:tc>
          <w:tcPr>
            <w:tcW w:w="4395" w:type="dxa"/>
            <w:tcMar/>
          </w:tcPr>
          <w:p w:rsidRPr="0053521F" w:rsidR="001B0643" w:rsidP="0053521F" w:rsidRDefault="001B0643" w14:paraId="7AB64B24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ÁREA DE ABRANGÊNCIA:</w:t>
            </w:r>
          </w:p>
        </w:tc>
        <w:tc>
          <w:tcPr>
            <w:tcW w:w="4677" w:type="dxa"/>
            <w:tcMar/>
          </w:tcPr>
          <w:p w:rsidRPr="0053521F" w:rsidR="001B0643" w:rsidP="0053521F" w:rsidRDefault="00482E7D" w14:paraId="3E6DA94D" w14:textId="36F2C248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color w:val="000000" w:themeColor="text1"/>
              </w:rPr>
              <w:t>Alpinópolis/MG</w:t>
            </w:r>
          </w:p>
        </w:tc>
      </w:tr>
      <w:tr w:rsidRPr="0053521F" w:rsidR="00442953" w:rsidTr="511C0D02" w14:paraId="64A1639B" w14:textId="77777777">
        <w:trPr>
          <w:trHeight w:val="454"/>
        </w:trPr>
        <w:tc>
          <w:tcPr>
            <w:tcW w:w="4395" w:type="dxa"/>
            <w:tcMar/>
          </w:tcPr>
          <w:p w:rsidRPr="0053521F" w:rsidR="001B0643" w:rsidP="0053521F" w:rsidRDefault="001B0643" w14:paraId="225F27D3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COMITÊ:</w:t>
            </w:r>
          </w:p>
        </w:tc>
        <w:tc>
          <w:tcPr>
            <w:tcW w:w="4677" w:type="dxa"/>
            <w:tcMar/>
          </w:tcPr>
          <w:p w:rsidRPr="0053521F" w:rsidR="001B0643" w:rsidP="0053521F" w:rsidRDefault="001B0643" w14:paraId="37878260" w14:textId="39A61CCA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color w:val="000000" w:themeColor="text1"/>
              </w:rPr>
              <w:t xml:space="preserve">CBH </w:t>
            </w:r>
            <w:r w:rsidRPr="0053521F" w:rsidR="00FF2C1A">
              <w:rPr>
                <w:rFonts w:ascii="Arial" w:hAnsi="Arial" w:cs="Arial"/>
                <w:color w:val="000000" w:themeColor="text1"/>
              </w:rPr>
              <w:t>dos Afluentes Mineiros do Médio Rio Grande</w:t>
            </w:r>
            <w:r w:rsidRPr="0053521F" w:rsidR="00DF689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Pr="0053521F" w:rsidR="00442953" w:rsidTr="511C0D02" w14:paraId="15E4A179" w14:textId="77777777">
        <w:trPr>
          <w:trHeight w:val="1935"/>
        </w:trPr>
        <w:tc>
          <w:tcPr>
            <w:tcW w:w="4395" w:type="dxa"/>
            <w:tcMar/>
          </w:tcPr>
          <w:p w:rsidRPr="0053521F" w:rsidR="001B0643" w:rsidP="0053521F" w:rsidRDefault="001B0643" w14:paraId="1E771D22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3521F">
              <w:rPr>
                <w:rFonts w:ascii="Arial" w:hAnsi="Arial" w:cs="Arial"/>
                <w:b/>
                <w:color w:val="000000" w:themeColor="text1"/>
                <w:szCs w:val="24"/>
              </w:rPr>
              <w:t>DOCUMENTO EM ANÁLISE:</w:t>
            </w:r>
          </w:p>
        </w:tc>
        <w:tc>
          <w:tcPr>
            <w:tcW w:w="4677" w:type="dxa"/>
            <w:tcMar/>
          </w:tcPr>
          <w:p w:rsidRPr="0053521F" w:rsidR="00E72D72" w:rsidP="511C0D02" w:rsidRDefault="00E72D72" w14:paraId="5AA56370" w14:textId="79E6EFA2">
            <w:pPr>
              <w:pStyle w:val="Corpodetexto"/>
              <w:tabs>
                <w:tab w:val="left" w:pos="2700"/>
              </w:tabs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</w:rPr>
            </w:pPr>
            <w:r w:rsidRPr="511C0D02" w:rsidR="00DF6891">
              <w:rPr>
                <w:rFonts w:ascii="Arial" w:hAnsi="Arial" w:cs="Arial"/>
                <w:color w:val="000000" w:themeColor="text1" w:themeTint="FF" w:themeShade="FF"/>
              </w:rPr>
              <w:t xml:space="preserve">Parecer Técnico IGAM/URGA SM/OUTORGA </w:t>
            </w:r>
            <w:r w:rsidRPr="511C0D02" w:rsidR="02AB0FDE">
              <w:rPr>
                <w:rFonts w:ascii="Arial" w:hAnsi="Arial" w:cs="Arial"/>
                <w:color w:val="000000" w:themeColor="text1" w:themeTint="FF" w:themeShade="FF"/>
              </w:rPr>
              <w:t>nº. 252/2025</w:t>
            </w:r>
            <w:r w:rsidRPr="511C0D02" w:rsidR="001B0643">
              <w:rPr>
                <w:rFonts w:ascii="Arial" w:hAnsi="Arial" w:cs="Arial"/>
                <w:color w:val="000000" w:themeColor="text1" w:themeTint="FF" w:themeShade="FF"/>
              </w:rPr>
              <w:t xml:space="preserve">. </w:t>
            </w:r>
            <w:r w:rsidRPr="511C0D02" w:rsidR="00DF6891">
              <w:rPr>
                <w:rFonts w:ascii="Arial" w:hAnsi="Arial" w:cs="Arial"/>
                <w:color w:val="000000" w:themeColor="text1" w:themeTint="FF" w:themeShade="FF"/>
              </w:rPr>
              <w:t xml:space="preserve">Captação de água subterrânea para fins de rebaixamento de nível de água pra obras civis. </w:t>
            </w:r>
          </w:p>
        </w:tc>
      </w:tr>
    </w:tbl>
    <w:p w:rsidRPr="0053521F" w:rsidR="001B0643" w:rsidP="0053521F" w:rsidRDefault="001B0643" w14:paraId="1A19ECEB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</w:p>
    <w:p w:rsidRPr="0053521F" w:rsidR="00E77060" w:rsidP="0053521F" w:rsidRDefault="00483322" w14:paraId="3E0DE2C7" w14:textId="77348081">
      <w:pPr>
        <w:pStyle w:val="PargrafodaLista"/>
        <w:numPr>
          <w:ilvl w:val="0"/>
          <w:numId w:val="7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HISTÓRICO</w:t>
      </w:r>
    </w:p>
    <w:p w:rsidRPr="0053521F" w:rsidR="00E77060" w:rsidP="0053521F" w:rsidRDefault="00483322" w14:paraId="3E0DE2C8" w14:textId="659D6738">
      <w:pPr>
        <w:tabs>
          <w:tab w:val="left" w:pos="567"/>
          <w:tab w:val="left" w:pos="1134"/>
          <w:tab w:val="left" w:pos="1843"/>
        </w:tabs>
        <w:spacing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  <w:spacing w:val="-1"/>
        </w:rPr>
        <w:t>Em</w:t>
      </w:r>
      <w:r w:rsidRPr="0053521F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cumprimento</w:t>
      </w:r>
      <w:r w:rsidRPr="0053521F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aos</w:t>
      </w:r>
      <w:r w:rsidRPr="0053521F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artigos</w:t>
      </w:r>
      <w:r w:rsidRPr="0053521F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2ª</w:t>
      </w:r>
      <w:r w:rsidRPr="0053521F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e</w:t>
      </w:r>
      <w:r w:rsidRPr="0053521F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3º</w:t>
      </w:r>
      <w:r w:rsidRPr="0053521F">
        <w:rPr>
          <w:rFonts w:ascii="Arial" w:hAnsi="Arial" w:eastAsia="Arial" w:cs="Arial"/>
          <w:color w:val="000000" w:themeColor="text1"/>
          <w:spacing w:val="-18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da</w:t>
      </w:r>
      <w:r w:rsidRPr="0053521F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color w:val="000000" w:themeColor="text1"/>
          <w:spacing w:val="-1"/>
        </w:rPr>
        <w:t>Deliberação</w:t>
      </w:r>
      <w:r w:rsidRPr="0053521F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Normativa</w:t>
      </w:r>
      <w:r w:rsidRPr="0053521F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do</w:t>
      </w:r>
      <w:r w:rsidRPr="0053521F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CERH</w:t>
      </w:r>
      <w:r w:rsidRPr="0053521F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nº</w:t>
      </w:r>
      <w:r w:rsidRPr="0053521F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31/2009, transcritos</w:t>
      </w:r>
      <w:r w:rsidRPr="0053521F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a</w:t>
      </w:r>
      <w:r w:rsidRPr="0053521F">
        <w:rPr>
          <w:rFonts w:ascii="Arial" w:hAnsi="Arial" w:eastAsia="Arial" w:cs="Arial"/>
          <w:color w:val="000000" w:themeColor="text1"/>
          <w:spacing w:val="-4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seguir,</w:t>
      </w:r>
      <w:r w:rsidRPr="0053521F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o</w:t>
      </w:r>
      <w:r w:rsidRPr="0053521F">
        <w:rPr>
          <w:rFonts w:ascii="Arial" w:hAnsi="Arial" w:eastAsia="Arial" w:cs="Arial"/>
          <w:color w:val="000000" w:themeColor="text1"/>
          <w:spacing w:val="-4"/>
        </w:rPr>
        <w:t xml:space="preserve"> </w:t>
      </w:r>
      <w:bookmarkStart w:name="_Hlk209613418" w:id="1"/>
      <w:r w:rsidRPr="0053521F">
        <w:rPr>
          <w:rFonts w:ascii="Arial" w:hAnsi="Arial" w:eastAsia="Arial" w:cs="Arial"/>
          <w:color w:val="000000" w:themeColor="text1"/>
        </w:rPr>
        <w:t>CBH</w:t>
      </w:r>
      <w:r w:rsidRPr="0053521F">
        <w:rPr>
          <w:rFonts w:ascii="Arial" w:hAnsi="Arial" w:eastAsia="Arial" w:cs="Arial"/>
          <w:color w:val="000000" w:themeColor="text1"/>
          <w:spacing w:val="-2"/>
        </w:rPr>
        <w:t xml:space="preserve"> </w:t>
      </w:r>
      <w:bookmarkEnd w:id="1"/>
      <w:r w:rsidRPr="0053521F" w:rsidR="00E06B7E">
        <w:rPr>
          <w:rFonts w:ascii="Arial" w:hAnsi="Arial" w:eastAsia="Arial" w:cs="Arial"/>
          <w:color w:val="000000" w:themeColor="text1"/>
        </w:rPr>
        <w:t xml:space="preserve">dos Afluentes Mineiros do Médio Rio Grande </w:t>
      </w:r>
      <w:r w:rsidRPr="0053521F">
        <w:rPr>
          <w:rFonts w:ascii="Arial" w:hAnsi="Arial" w:eastAsia="Arial" w:cs="Arial"/>
          <w:color w:val="000000" w:themeColor="text1"/>
        </w:rPr>
        <w:t>encaminhou</w:t>
      </w:r>
      <w:r w:rsidRPr="0053521F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o</w:t>
      </w:r>
      <w:r w:rsidRPr="0053521F">
        <w:rPr>
          <w:rFonts w:ascii="Arial" w:hAnsi="Arial" w:eastAsia="Arial" w:cs="Arial"/>
          <w:color w:val="000000" w:themeColor="text1"/>
          <w:spacing w:val="-5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processo</w:t>
      </w:r>
      <w:r w:rsidRPr="0053521F">
        <w:rPr>
          <w:rFonts w:ascii="Arial" w:hAnsi="Arial" w:eastAsia="Arial" w:cs="Arial"/>
          <w:color w:val="000000" w:themeColor="text1"/>
          <w:spacing w:val="-4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de</w:t>
      </w:r>
      <w:r w:rsidRPr="0053521F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 xml:space="preserve">outorga </w:t>
      </w:r>
      <w:r w:rsidRPr="0053521F" w:rsidR="00E06B7E">
        <w:rPr>
          <w:rFonts w:ascii="Arial" w:hAnsi="Arial" w:eastAsia="Arial" w:cs="Arial"/>
          <w:color w:val="000000" w:themeColor="text1"/>
        </w:rPr>
        <w:t xml:space="preserve">nº. </w:t>
      </w:r>
      <w:r w:rsidRPr="0053521F" w:rsidR="00752E55">
        <w:rPr>
          <w:rFonts w:ascii="Arial" w:hAnsi="Arial" w:eastAsia="Arial" w:cs="Arial"/>
          <w:color w:val="000000" w:themeColor="text1"/>
        </w:rPr>
        <w:t>41590/2024</w:t>
      </w:r>
      <w:r w:rsidR="00752E55">
        <w:rPr>
          <w:rFonts w:ascii="Arial" w:hAnsi="Arial" w:eastAsia="Arial" w:cs="Arial"/>
          <w:color w:val="000000" w:themeColor="text1"/>
        </w:rPr>
        <w:t xml:space="preserve"> </w:t>
      </w:r>
      <w:r w:rsidRPr="00025B25" w:rsidR="001B0643">
        <w:rPr>
          <w:rFonts w:ascii="Arial" w:hAnsi="Arial" w:eastAsia="Arial" w:cs="Arial"/>
          <w:color w:val="000000" w:themeColor="text1"/>
        </w:rPr>
        <w:t xml:space="preserve">à Câmara </w:t>
      </w:r>
      <w:r w:rsidRPr="00025B25" w:rsidR="00025B25">
        <w:rPr>
          <w:rFonts w:ascii="Arial" w:hAnsi="Arial" w:eastAsia="Arial" w:cs="Arial"/>
          <w:color w:val="000000" w:themeColor="text1"/>
        </w:rPr>
        <w:t>de</w:t>
      </w:r>
      <w:r w:rsidRPr="00025B25" w:rsidR="00752E55">
        <w:rPr>
          <w:rFonts w:ascii="Arial" w:hAnsi="Arial" w:eastAsia="Arial" w:cs="Arial"/>
          <w:color w:val="000000" w:themeColor="text1"/>
        </w:rPr>
        <w:t xml:space="preserve"> </w:t>
      </w:r>
      <w:r w:rsidRPr="00025B25" w:rsidR="00025B25">
        <w:rPr>
          <w:rFonts w:ascii="Arial" w:hAnsi="Arial" w:eastAsia="Arial" w:cs="Arial"/>
          <w:color w:val="000000" w:themeColor="text1"/>
        </w:rPr>
        <w:t>Instrumentos de Gestão - CTIG</w:t>
      </w:r>
      <w:r w:rsidRPr="00025B25">
        <w:rPr>
          <w:rFonts w:ascii="Arial" w:hAnsi="Arial" w:eastAsia="Arial" w:cs="Arial"/>
          <w:color w:val="000000" w:themeColor="text1"/>
        </w:rPr>
        <w:t>,</w:t>
      </w:r>
      <w:r w:rsidRPr="00025B25">
        <w:rPr>
          <w:rFonts w:ascii="Arial" w:hAnsi="Arial" w:eastAsia="Arial" w:cs="Arial"/>
          <w:color w:val="000000" w:themeColor="text1"/>
        </w:rPr>
        <w:t xml:space="preserve"> para</w:t>
      </w:r>
      <w:r w:rsidRPr="00025B25">
        <w:rPr>
          <w:rFonts w:ascii="Arial" w:hAnsi="Arial" w:eastAsia="Arial" w:cs="Arial"/>
          <w:color w:val="000000" w:themeColor="text1"/>
          <w:spacing w:val="1"/>
        </w:rPr>
        <w:t xml:space="preserve"> </w:t>
      </w:r>
      <w:r w:rsidRPr="00025B25">
        <w:rPr>
          <w:rFonts w:ascii="Arial" w:hAnsi="Arial" w:eastAsia="Arial" w:cs="Arial"/>
          <w:color w:val="000000" w:themeColor="text1"/>
        </w:rPr>
        <w:t>pr</w:t>
      </w:r>
      <w:r w:rsidRPr="00025B25">
        <w:rPr>
          <w:rFonts w:ascii="Arial" w:hAnsi="Arial" w:eastAsia="Arial" w:cs="Arial"/>
          <w:color w:val="000000" w:themeColor="text1"/>
        </w:rPr>
        <w:t>oced</w:t>
      </w:r>
      <w:r w:rsidRPr="0053521F">
        <w:rPr>
          <w:rFonts w:ascii="Arial" w:hAnsi="Arial" w:eastAsia="Arial" w:cs="Arial"/>
          <w:color w:val="000000" w:themeColor="text1"/>
        </w:rPr>
        <w:t>er</w:t>
      </w:r>
      <w:r w:rsidRPr="0053521F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a</w:t>
      </w:r>
      <w:r w:rsidRPr="0053521F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análise</w:t>
      </w:r>
      <w:r w:rsidRPr="0053521F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e</w:t>
      </w:r>
      <w:r w:rsidRPr="0053521F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emissão</w:t>
      </w:r>
      <w:r w:rsidRPr="0053521F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de</w:t>
      </w:r>
      <w:r w:rsidRPr="0053521F">
        <w:rPr>
          <w:rFonts w:ascii="Arial" w:hAnsi="Arial" w:eastAsia="Arial" w:cs="Arial"/>
          <w:color w:val="000000" w:themeColor="text1"/>
          <w:spacing w:val="-3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parecer em</w:t>
      </w:r>
      <w:r w:rsidRPr="0053521F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apoio</w:t>
      </w:r>
      <w:r w:rsidRPr="0053521F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ao</w:t>
      </w:r>
      <w:r w:rsidRPr="0053521F">
        <w:rPr>
          <w:rFonts w:ascii="Arial" w:hAnsi="Arial" w:eastAsia="Arial" w:cs="Arial"/>
          <w:color w:val="000000" w:themeColor="text1"/>
          <w:spacing w:val="-3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plenário do</w:t>
      </w:r>
      <w:r w:rsidRPr="0053521F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color w:val="000000" w:themeColor="text1"/>
        </w:rPr>
        <w:t>CBH:</w:t>
      </w:r>
    </w:p>
    <w:p w:rsidRPr="0053521F" w:rsidR="00E77060" w:rsidP="0053521F" w:rsidRDefault="00483322" w14:paraId="3E0DE2C9" w14:textId="3C70F91C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color w:val="000000" w:themeColor="text1"/>
        </w:rPr>
      </w:pP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Art.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2º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-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Os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processos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de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requerimento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de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outorga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para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empreendimentos de grande porte e com potencial poluidor serão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encaminhados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3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aos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2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comitês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3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de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3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bacias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4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hidrográficas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2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pelo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2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IGAM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2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ou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12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pela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64"/>
        </w:rPr>
        <w:t xml:space="preserve"> </w:t>
      </w:r>
      <w:r w:rsidRPr="119310C1" w:rsidR="4A8EABEA">
        <w:rPr>
          <w:rFonts w:ascii="Arial" w:hAnsi="Arial" w:eastAsia="Arial" w:cs="Arial"/>
          <w:i w:val="1"/>
          <w:iCs w:val="1"/>
          <w:color w:val="000000" w:themeColor="text1"/>
          <w:spacing w:val="-64"/>
        </w:rPr>
        <w:t xml:space="preserve">FEAM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, devidamente acompanhados dos respectivos pareceres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1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técnicos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  <w:spacing w:val="-3"/>
        </w:rPr>
        <w:t xml:space="preserve"> </w:t>
      </w:r>
      <w:r w:rsidRPr="119310C1" w:rsidR="00483322">
        <w:rPr>
          <w:rFonts w:ascii="Arial" w:hAnsi="Arial" w:eastAsia="Arial" w:cs="Arial"/>
          <w:i w:val="1"/>
          <w:iCs w:val="1"/>
          <w:color w:val="000000" w:themeColor="text1"/>
        </w:rPr>
        <w:t>e jurídicos conclusivos</w:t>
      </w:r>
      <w:r w:rsidRPr="0053521F" w:rsidR="00483322">
        <w:rPr>
          <w:rFonts w:ascii="Arial" w:hAnsi="Arial" w:eastAsia="Arial" w:cs="Arial"/>
          <w:color w:val="000000" w:themeColor="text1"/>
        </w:rPr>
        <w:t>.</w:t>
      </w:r>
    </w:p>
    <w:p w:rsidRPr="0053521F" w:rsidR="00E77060" w:rsidP="0053521F" w:rsidRDefault="00483322" w14:paraId="3E0DE2CA" w14:textId="77777777">
      <w:pPr>
        <w:spacing w:before="120" w:after="0" w:line="276" w:lineRule="auto"/>
        <w:ind w:left="2268" w:right="137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Parágrafo único. Os técnicos responsáveis pelos pareceres conclusivos,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ou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aqueles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outros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designados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pelo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IGAM,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deverão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acompanhar o processo</w:t>
      </w:r>
      <w:r w:rsidRPr="0053521F">
        <w:rPr>
          <w:rFonts w:ascii="Arial" w:hAnsi="Arial" w:eastAsia="Arial" w:cs="Arial"/>
          <w:i/>
          <w:color w:val="000000" w:themeColor="text1"/>
          <w:spacing w:val="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 aprovação nos comitês, estando presentes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em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todas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instâncias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decisão,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para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devidos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esclarecimentos.</w:t>
      </w:r>
    </w:p>
    <w:p w:rsidRPr="0053521F" w:rsidR="00E77060" w:rsidP="0053521F" w:rsidRDefault="00483322" w14:paraId="3E0DE2CB" w14:textId="77777777">
      <w:pPr>
        <w:spacing w:before="112" w:after="0" w:line="276" w:lineRule="auto"/>
        <w:ind w:left="2268" w:right="207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Art.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3º</w:t>
      </w:r>
      <w:r w:rsidRPr="0053521F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-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Os</w:t>
      </w:r>
      <w:r w:rsidRPr="0053521F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pareceres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sobre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</w:t>
      </w:r>
      <w:r w:rsidRPr="0053521F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outorga</w:t>
      </w:r>
      <w:r w:rsidRPr="0053521F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solicitada</w:t>
      </w:r>
      <w:r w:rsidRPr="0053521F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serão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analisados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pela</w:t>
      </w:r>
      <w:r w:rsidRPr="0053521F"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Agência de Bacia ou entidade a ela equiparada, que encaminhará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suas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conclusões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para</w:t>
      </w:r>
      <w:r w:rsidRPr="0053521F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decisão</w:t>
      </w:r>
      <w:r w:rsidRPr="0053521F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do comitê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</w:t>
      </w:r>
      <w:r w:rsidRPr="0053521F">
        <w:rPr>
          <w:rFonts w:ascii="Arial" w:hAnsi="Arial" w:eastAsia="Arial" w:cs="Arial"/>
          <w:i/>
          <w:color w:val="000000" w:themeColor="text1"/>
          <w:spacing w:val="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bacia</w:t>
      </w:r>
      <w:r w:rsidRPr="0053521F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hidrográfica.</w:t>
      </w:r>
    </w:p>
    <w:p w:rsidRPr="0053521F" w:rsidR="00E77060" w:rsidP="0053521F" w:rsidRDefault="00483322" w14:paraId="3E0DE2CC" w14:textId="77777777">
      <w:pPr>
        <w:spacing w:before="119" w:after="0" w:line="276" w:lineRule="auto"/>
        <w:ind w:left="2268" w:right="206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  <w:spacing w:val="-1"/>
        </w:rPr>
        <w:t>§1º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>Na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>inexistência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da</w:t>
      </w:r>
      <w:r w:rsidRPr="0053521F">
        <w:rPr>
          <w:rFonts w:ascii="Arial" w:hAnsi="Arial" w:eastAsia="Arial" w:cs="Arial"/>
          <w:i/>
          <w:color w:val="000000" w:themeColor="text1"/>
          <w:spacing w:val="-16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Agência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Bacia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ou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entidade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</w:t>
      </w:r>
      <w:r w:rsidRPr="0053521F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ela</w:t>
      </w:r>
      <w:r w:rsidRPr="0053521F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equiparada,</w:t>
      </w:r>
      <w:r w:rsidRPr="0053521F"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a análise do parecer de outorga poderá ser realizada pela Câmara</w:t>
      </w:r>
      <w:r w:rsidRPr="0053521F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Técnica</w:t>
      </w:r>
      <w:r w:rsidRPr="0053521F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competente</w:t>
      </w:r>
      <w:r w:rsidRPr="0053521F">
        <w:rPr>
          <w:rFonts w:ascii="Arial" w:hAnsi="Arial" w:eastAsia="Arial" w:cs="Arial"/>
          <w:i/>
          <w:color w:val="000000" w:themeColor="text1"/>
          <w:spacing w:val="53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do</w:t>
      </w:r>
      <w:r w:rsidRPr="0053521F"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respectivo</w:t>
      </w:r>
      <w:r w:rsidRPr="0053521F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comitê,</w:t>
      </w:r>
      <w:r w:rsidRPr="0053521F"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que</w:t>
      </w:r>
      <w:r w:rsidRPr="0053521F">
        <w:rPr>
          <w:rFonts w:ascii="Arial" w:hAnsi="Arial" w:eastAsia="Arial" w:cs="Arial"/>
          <w:i/>
          <w:color w:val="000000" w:themeColor="text1"/>
          <w:spacing w:val="5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encaminhará</w:t>
      </w:r>
      <w:r w:rsidRPr="0053521F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suas conclusões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para</w:t>
      </w:r>
      <w:r w:rsidRPr="0053521F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decisão em</w:t>
      </w:r>
      <w:r w:rsidRPr="0053521F">
        <w:rPr>
          <w:rFonts w:ascii="Arial" w:hAnsi="Arial" w:eastAsia="Arial" w:cs="Arial"/>
          <w:i/>
          <w:color w:val="000000" w:themeColor="text1"/>
          <w:spacing w:val="-5"/>
        </w:rPr>
        <w:t xml:space="preserve"> </w:t>
      </w:r>
      <w:r w:rsidRPr="0053521F">
        <w:rPr>
          <w:rFonts w:ascii="Arial" w:hAnsi="Arial" w:eastAsia="Arial" w:cs="Arial"/>
          <w:i/>
          <w:color w:val="000000" w:themeColor="text1"/>
        </w:rPr>
        <w:t>plenário.</w:t>
      </w:r>
    </w:p>
    <w:p w:rsidRPr="0053521F" w:rsidR="00E77060" w:rsidP="0053521F" w:rsidRDefault="00E77060" w14:paraId="3E0DE2CD" w14:textId="77777777">
      <w:pPr>
        <w:spacing w:before="119" w:after="0" w:line="276" w:lineRule="auto"/>
        <w:ind w:left="2268" w:right="206"/>
        <w:jc w:val="both"/>
        <w:rPr>
          <w:rFonts w:ascii="Arial MT" w:hAnsi="Arial MT" w:eastAsia="Arial MT" w:cs="Arial MT"/>
          <w:color w:val="000000" w:themeColor="text1"/>
          <w:sz w:val="22"/>
        </w:rPr>
      </w:pPr>
    </w:p>
    <w:p w:rsidRPr="0053521F" w:rsidR="00E77060" w:rsidP="0053521F" w:rsidRDefault="00483322" w14:paraId="3E0DE2CE" w14:textId="7CE2CB2E">
      <w:pPr>
        <w:pStyle w:val="PargrafodaLista"/>
        <w:numPr>
          <w:ilvl w:val="0"/>
          <w:numId w:val="7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OBJETIVO</w:t>
      </w:r>
    </w:p>
    <w:p w:rsidRPr="0053521F" w:rsidR="00E77060" w:rsidP="0053521F" w:rsidRDefault="00483322" w14:paraId="3E0DE2CF" w14:textId="38AE9758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 w:rsidR="00483322">
        <w:rPr>
          <w:rFonts w:ascii="Arial" w:hAnsi="Arial" w:eastAsia="Arial" w:cs="Arial"/>
          <w:color w:val="000000" w:themeColor="text1"/>
        </w:rPr>
        <w:t xml:space="preserve">Análise das informações contidas no </w:t>
      </w:r>
      <w:r w:rsidRPr="0053521F" w:rsidR="00DF6891">
        <w:rPr>
          <w:rFonts w:ascii="Arial" w:hAnsi="Arial" w:eastAsia="Arial" w:cs="Arial"/>
          <w:color w:val="000000" w:themeColor="text1"/>
        </w:rPr>
        <w:t xml:space="preserve">Parecer Técnico IGAM/URGA SM/OUTORGA </w:t>
      </w:r>
      <w:r w:rsidRPr="0053521F" w:rsidR="00E06B7E">
        <w:rPr>
          <w:rFonts w:ascii="Arial" w:hAnsi="Arial" w:eastAsia="Arial" w:cs="Arial"/>
          <w:color w:val="000000" w:themeColor="text1"/>
        </w:rPr>
        <w:t>nº. 252/2025</w:t>
      </w:r>
      <w:r w:rsidRPr="0053521F" w:rsidR="00483322">
        <w:rPr>
          <w:rFonts w:ascii="Arial" w:hAnsi="Arial" w:eastAsia="Arial" w:cs="Arial"/>
          <w:color w:val="000000" w:themeColor="text1"/>
        </w:rPr>
        <w:t>, datado de</w:t>
      </w:r>
      <w:r w:rsidR="0053521F">
        <w:rPr>
          <w:rFonts w:ascii="Arial" w:hAnsi="Arial" w:eastAsia="Arial" w:cs="Arial"/>
          <w:color w:val="000000" w:themeColor="text1"/>
        </w:rPr>
        <w:t xml:space="preserve"> 10/07/2025</w:t>
      </w:r>
      <w:r w:rsidRPr="0053521F" w:rsidR="00483322">
        <w:rPr>
          <w:rFonts w:ascii="Arial" w:hAnsi="Arial" w:eastAsia="Arial" w:cs="Arial"/>
          <w:color w:val="000000" w:themeColor="text1"/>
        </w:rPr>
        <w:t>, tendo</w:t>
      </w:r>
      <w:r w:rsidRPr="0053521F" w:rsidR="00483322">
        <w:rPr>
          <w:rFonts w:ascii="Arial" w:hAnsi="Arial" w:eastAsia="Arial" w:cs="Arial"/>
          <w:color w:val="000000" w:themeColor="text1"/>
          <w:spacing w:val="1"/>
        </w:rPr>
        <w:t xml:space="preserve"> 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como empreendedor </w:t>
      </w:r>
      <w:r w:rsidRPr="0053521F" w:rsidR="00F939DD">
        <w:rPr>
          <w:rFonts w:ascii="Arial" w:hAnsi="Arial" w:eastAsia="Arial" w:cs="Arial"/>
          <w:color w:val="000000" w:themeColor="text1"/>
        </w:rPr>
        <w:t xml:space="preserve">DEPARTAMENTO NACIONAL DE INFRAESTRUTURA EM TRANSPORTES – DNIT </w:t>
      </w:r>
      <w:r w:rsidRPr="0053521F" w:rsidR="00DF6891">
        <w:rPr>
          <w:rFonts w:ascii="Arial" w:hAnsi="Arial" w:eastAsia="Arial" w:cs="Arial"/>
          <w:color w:val="000000" w:themeColor="text1"/>
        </w:rPr>
        <w:t>CNPJ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 </w:t>
      </w:r>
      <w:r w:rsidRPr="0053521F" w:rsidR="00F939DD">
        <w:rPr>
          <w:rFonts w:ascii="Arial" w:hAnsi="Arial" w:eastAsia="Arial" w:cs="Arial"/>
          <w:color w:val="000000" w:themeColor="text1"/>
        </w:rPr>
        <w:t>04.892.707/0024-05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, para </w:t>
      </w:r>
      <w:r w:rsidRPr="0053521F" w:rsidR="00904B28">
        <w:rPr>
          <w:rFonts w:ascii="Arial" w:hAnsi="Arial" w:eastAsia="Arial" w:cs="Arial"/>
          <w:color w:val="000000" w:themeColor="text1"/>
        </w:rPr>
        <w:t>captação de água subterrânea para fins de rebaixamento em obras civis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, no município de </w:t>
      </w:r>
      <w:r w:rsidRPr="0053521F" w:rsidR="00E06B7E">
        <w:rPr>
          <w:rFonts w:ascii="Arial" w:hAnsi="Arial" w:eastAsia="Arial" w:cs="Arial"/>
          <w:color w:val="000000" w:themeColor="text1"/>
        </w:rPr>
        <w:t>Alpinópolis/MG</w:t>
      </w:r>
      <w:r w:rsidRPr="0053521F" w:rsidR="00483322">
        <w:rPr>
          <w:rFonts w:ascii="Arial" w:hAnsi="Arial" w:eastAsia="Arial" w:cs="Arial"/>
          <w:color w:val="000000" w:themeColor="text1"/>
        </w:rPr>
        <w:t>,</w:t>
      </w:r>
      <w:r w:rsidRPr="0053521F" w:rsidR="00483322">
        <w:rPr>
          <w:rFonts w:ascii="Arial" w:hAnsi="Arial" w:eastAsia="Arial" w:cs="Arial"/>
          <w:color w:val="000000" w:themeColor="text1"/>
          <w:spacing w:val="-8"/>
        </w:rPr>
        <w:t xml:space="preserve"> </w:t>
      </w:r>
      <w:r w:rsidRPr="0053521F" w:rsidR="00483322">
        <w:rPr>
          <w:rFonts w:ascii="Arial" w:hAnsi="Arial" w:eastAsia="Arial" w:cs="Arial"/>
          <w:color w:val="000000" w:themeColor="text1"/>
        </w:rPr>
        <w:t>bem como do</w:t>
      </w:r>
      <w:r w:rsidRPr="0053521F" w:rsidR="00483322">
        <w:rPr>
          <w:rFonts w:ascii="Arial" w:hAnsi="Arial" w:eastAsia="Arial" w:cs="Arial"/>
          <w:color w:val="000000" w:themeColor="text1"/>
          <w:spacing w:val="-10"/>
        </w:rPr>
        <w:t xml:space="preserve"> </w:t>
      </w:r>
      <w:r w:rsidRPr="0053521F" w:rsidR="00483322">
        <w:rPr>
          <w:rFonts w:ascii="Arial" w:hAnsi="Arial" w:eastAsia="Arial" w:cs="Arial"/>
          <w:color w:val="000000" w:themeColor="text1"/>
        </w:rPr>
        <w:t>Parecer</w:t>
      </w:r>
      <w:r w:rsidRPr="0053521F" w:rsidR="00483322">
        <w:rPr>
          <w:rFonts w:ascii="Arial" w:hAnsi="Arial" w:eastAsia="Arial" w:cs="Arial"/>
          <w:color w:val="000000" w:themeColor="text1"/>
          <w:spacing w:val="-11"/>
        </w:rPr>
        <w:t xml:space="preserve"> </w:t>
      </w:r>
      <w:r w:rsidRPr="0053521F" w:rsidR="00483322">
        <w:rPr>
          <w:rFonts w:ascii="Arial" w:hAnsi="Arial" w:eastAsia="Arial" w:cs="Arial"/>
          <w:color w:val="000000" w:themeColor="text1"/>
        </w:rPr>
        <w:t>Técnico</w:t>
      </w:r>
      <w:r w:rsidRPr="0053521F" w:rsidR="00483322">
        <w:rPr>
          <w:rFonts w:ascii="Arial" w:hAnsi="Arial" w:eastAsia="Arial" w:cs="Arial"/>
          <w:color w:val="000000" w:themeColor="text1"/>
          <w:spacing w:val="-8"/>
        </w:rPr>
        <w:t xml:space="preserve"> acima referenciado</w:t>
      </w:r>
      <w:r w:rsidRPr="0053521F" w:rsidR="00483322">
        <w:rPr>
          <w:rFonts w:ascii="Arial" w:hAnsi="Arial" w:eastAsia="Arial" w:cs="Arial"/>
          <w:color w:val="000000" w:themeColor="text1"/>
        </w:rPr>
        <w:t>.</w:t>
      </w:r>
    </w:p>
    <w:p w:rsidRPr="0053521F" w:rsidR="00E72D72" w:rsidP="0053521F" w:rsidRDefault="00E72D72" w14:paraId="1B990D1F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</w:p>
    <w:p w:rsidRPr="0053521F" w:rsidR="00E77060" w:rsidP="0053521F" w:rsidRDefault="00483322" w14:paraId="3E0DE2D0" w14:textId="5804E85A">
      <w:pPr>
        <w:pStyle w:val="PargrafodaLista"/>
        <w:numPr>
          <w:ilvl w:val="0"/>
          <w:numId w:val="7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ANÁLISE</w:t>
      </w:r>
    </w:p>
    <w:p w:rsidRPr="0053521F" w:rsidR="001B171C" w:rsidP="0053521F" w:rsidRDefault="003A3C22" w14:paraId="4460F78D" w14:textId="7AED4C8E">
      <w:pPr>
        <w:pStyle w:val="Texto1"/>
        <w:rPr>
          <w:color w:val="000000" w:themeColor="text1"/>
        </w:rPr>
      </w:pPr>
      <w:r w:rsidRPr="0053521F">
        <w:rPr>
          <w:color w:val="000000" w:themeColor="text1"/>
        </w:rPr>
        <w:t xml:space="preserve">O requerente solicita outorga </w:t>
      </w:r>
      <w:r w:rsidRPr="0053521F" w:rsidR="00904B28">
        <w:rPr>
          <w:color w:val="000000" w:themeColor="text1"/>
        </w:rPr>
        <w:t>para captação de água subterrânea para fins de rebaixamento em obras civis.</w:t>
      </w:r>
      <w:r w:rsidRPr="0053521F">
        <w:rPr>
          <w:color w:val="000000" w:themeColor="text1"/>
        </w:rPr>
        <w:t xml:space="preserve"> </w:t>
      </w:r>
      <w:r w:rsidRPr="0053521F" w:rsidR="001B171C">
        <w:rPr>
          <w:color w:val="000000" w:themeColor="text1"/>
        </w:rPr>
        <w:t xml:space="preserve">A intervenção será ao longo da rodovia BR-265/MG, no Segmento 02 (KM 554,5 a KM 573,60), no município de Alpinópolis/MG. </w:t>
      </w:r>
    </w:p>
    <w:p w:rsidRPr="0053521F" w:rsidR="00B833F0" w:rsidP="0053521F" w:rsidRDefault="00483322" w14:paraId="32E325BD" w14:textId="1739AB7D">
      <w:pPr>
        <w:pStyle w:val="Texto1"/>
        <w:rPr>
          <w:color w:val="000000" w:themeColor="text1"/>
        </w:rPr>
      </w:pPr>
      <w:r w:rsidRPr="0053521F">
        <w:rPr>
          <w:rFonts w:eastAsia="Arial"/>
          <w:color w:val="000000" w:themeColor="text1"/>
        </w:rPr>
        <w:t>Trata-se d</w:t>
      </w:r>
      <w:r w:rsidRPr="0053521F" w:rsidR="001C2F2E">
        <w:rPr>
          <w:rFonts w:eastAsia="Arial"/>
          <w:color w:val="000000" w:themeColor="text1"/>
        </w:rPr>
        <w:t>e</w:t>
      </w:r>
      <w:r w:rsidRPr="0053521F">
        <w:rPr>
          <w:rFonts w:eastAsia="Arial"/>
          <w:color w:val="000000" w:themeColor="text1"/>
        </w:rPr>
        <w:t xml:space="preserve"> solicitação </w:t>
      </w:r>
      <w:r w:rsidRPr="0053521F" w:rsidR="00763DFC">
        <w:rPr>
          <w:rFonts w:eastAsia="Arial"/>
          <w:color w:val="000000" w:themeColor="text1"/>
        </w:rPr>
        <w:t>para</w:t>
      </w:r>
      <w:r w:rsidRPr="0053521F" w:rsidR="00211E65">
        <w:rPr>
          <w:rFonts w:eastAsia="Arial"/>
          <w:color w:val="000000" w:themeColor="text1"/>
        </w:rPr>
        <w:t xml:space="preserve"> um sistema de</w:t>
      </w:r>
      <w:r w:rsidRPr="0053521F" w:rsidR="00763DFC">
        <w:rPr>
          <w:rFonts w:eastAsia="Arial"/>
          <w:color w:val="000000" w:themeColor="text1"/>
        </w:rPr>
        <w:t xml:space="preserve"> dren</w:t>
      </w:r>
      <w:r w:rsidRPr="0053521F" w:rsidR="00580894">
        <w:rPr>
          <w:rFonts w:eastAsia="Arial"/>
          <w:color w:val="000000" w:themeColor="text1"/>
        </w:rPr>
        <w:t>agem</w:t>
      </w:r>
      <w:r w:rsidRPr="0053521F" w:rsidR="00763DFC">
        <w:rPr>
          <w:rFonts w:eastAsia="Arial"/>
          <w:color w:val="000000" w:themeColor="text1"/>
        </w:rPr>
        <w:t xml:space="preserve"> da água </w:t>
      </w:r>
      <w:r w:rsidRPr="0053521F" w:rsidR="00925209">
        <w:rPr>
          <w:rFonts w:eastAsia="Arial"/>
          <w:color w:val="000000" w:themeColor="text1"/>
        </w:rPr>
        <w:t>subterrânea</w:t>
      </w:r>
      <w:r w:rsidRPr="0053521F" w:rsidR="00211E65">
        <w:rPr>
          <w:color w:val="000000" w:themeColor="text1"/>
        </w:rPr>
        <w:t>,</w:t>
      </w:r>
      <w:r w:rsidRPr="0053521F" w:rsidR="00763DFC">
        <w:rPr>
          <w:rFonts w:eastAsia="Arial"/>
          <w:color w:val="000000" w:themeColor="text1"/>
        </w:rPr>
        <w:t xml:space="preserve"> </w:t>
      </w:r>
      <w:r w:rsidRPr="0053521F" w:rsidR="0062303A">
        <w:rPr>
          <w:rFonts w:eastAsia="Arial"/>
          <w:color w:val="000000" w:themeColor="text1"/>
        </w:rPr>
        <w:t xml:space="preserve">do tipo trincheira, </w:t>
      </w:r>
      <w:r w:rsidRPr="0053521F" w:rsidR="00211E65">
        <w:rPr>
          <w:rFonts w:eastAsia="Arial"/>
          <w:color w:val="000000" w:themeColor="text1"/>
        </w:rPr>
        <w:t>que</w:t>
      </w:r>
      <w:r w:rsidRPr="0053521F" w:rsidR="001B171C">
        <w:rPr>
          <w:rFonts w:eastAsia="Arial"/>
          <w:color w:val="000000" w:themeColor="text1"/>
        </w:rPr>
        <w:t xml:space="preserve"> será edificado em solo. Ele operará por gravidade, sem a utilização de equipamentos, bombas, ou controle/regulação ativo. A água coletada será conduzida por gravidade até um ponto de conexão com a rede de drenagem de águas pluviais pertencente à Prefeitura Municipal.</w:t>
      </w:r>
      <w:r w:rsidRPr="0053521F" w:rsidR="00580894">
        <w:rPr>
          <w:rFonts w:eastAsia="Arial"/>
          <w:color w:val="000000" w:themeColor="text1"/>
        </w:rPr>
        <w:t xml:space="preserve"> </w:t>
      </w:r>
      <w:r w:rsidRPr="0053521F" w:rsidR="00580894">
        <w:rPr>
          <w:color w:val="000000" w:themeColor="text1"/>
        </w:rPr>
        <w:t>A estrutura de drenagem permanecerá durante todo o tempo de vida útil do empreendimento</w:t>
      </w:r>
      <w:r w:rsidRPr="0053521F" w:rsidR="00211E65">
        <w:rPr>
          <w:color w:val="FF0000"/>
        </w:rPr>
        <w:t>.</w:t>
      </w:r>
      <w:r w:rsidRPr="0053521F" w:rsidR="001B171C">
        <w:rPr>
          <w:color w:val="000000" w:themeColor="text1"/>
        </w:rPr>
        <w:t xml:space="preserve"> </w:t>
      </w:r>
      <w:r w:rsidRPr="0053521F" w:rsidR="00B833F0">
        <w:rPr>
          <w:color w:val="000000" w:themeColor="text1"/>
        </w:rPr>
        <w:t xml:space="preserve">O trecho em questão se localiza nas coordenadas </w:t>
      </w:r>
      <w:r w:rsidRPr="0053521F" w:rsidR="00211E65">
        <w:rPr>
          <w:color w:val="000000" w:themeColor="text1"/>
        </w:rPr>
        <w:t>20°54'02,16"S</w:t>
      </w:r>
      <w:r w:rsidRPr="0053521F" w:rsidR="00B833F0">
        <w:rPr>
          <w:color w:val="000000" w:themeColor="text1"/>
        </w:rPr>
        <w:t xml:space="preserve">, </w:t>
      </w:r>
      <w:r w:rsidRPr="0053521F" w:rsidR="00211E65">
        <w:t>46°26'24,00"W (ponto médio do sistema de rebaixamento</w:t>
      </w:r>
      <w:r w:rsidRPr="0053521F" w:rsidR="00E247A0">
        <w:t>,</w:t>
      </w:r>
      <w:r w:rsidRPr="0053521F" w:rsidR="00211E65">
        <w:t xml:space="preserve"> de </w:t>
      </w:r>
      <w:r w:rsidRPr="0053521F" w:rsidR="00211E65">
        <w:rPr>
          <w:color w:val="000000" w:themeColor="text1"/>
        </w:rPr>
        <w:t>0,524 km de extensão)</w:t>
      </w:r>
      <w:r w:rsidRPr="0053521F" w:rsidR="00B833F0">
        <w:t>.</w:t>
      </w:r>
    </w:p>
    <w:p w:rsidRPr="0053521F" w:rsidR="00A904C3" w:rsidP="0053521F" w:rsidRDefault="00483322" w14:paraId="740E8FC8" w14:textId="102F17A2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 xml:space="preserve">De acordo com as informações </w:t>
      </w:r>
      <w:r w:rsidRPr="0053521F" w:rsidR="00CD27EE">
        <w:rPr>
          <w:rFonts w:ascii="Arial" w:hAnsi="Arial" w:eastAsia="Arial" w:cs="Arial"/>
          <w:color w:val="000000" w:themeColor="text1"/>
        </w:rPr>
        <w:t>apresentadas</w:t>
      </w:r>
      <w:r w:rsidRPr="0053521F">
        <w:rPr>
          <w:rFonts w:ascii="Arial" w:hAnsi="Arial" w:eastAsia="Arial" w:cs="Arial"/>
          <w:color w:val="000000" w:themeColor="text1"/>
        </w:rPr>
        <w:t xml:space="preserve"> no parecer técnico do processo, </w:t>
      </w:r>
      <w:r w:rsidRPr="0053521F" w:rsidR="00925209">
        <w:rPr>
          <w:rFonts w:ascii="Arial" w:hAnsi="Arial" w:eastAsia="Arial" w:cs="Arial"/>
          <w:color w:val="000000" w:themeColor="text1"/>
        </w:rPr>
        <w:t xml:space="preserve">o empreendimento </w:t>
      </w:r>
      <w:r w:rsidRPr="0053521F" w:rsidR="00724A49">
        <w:rPr>
          <w:rFonts w:ascii="Arial" w:hAnsi="Arial" w:eastAsia="Arial" w:cs="Arial"/>
          <w:color w:val="000000" w:themeColor="text1"/>
        </w:rPr>
        <w:t>em questão é uma obra rodoviária em execução ao longo da rodovia BR-265/MG, na faixa de domínio do próprio DNIT</w:t>
      </w:r>
      <w:r w:rsidR="007F46AB">
        <w:rPr>
          <w:rFonts w:ascii="Arial" w:hAnsi="Arial" w:eastAsia="Arial" w:cs="Arial"/>
          <w:color w:val="000000" w:themeColor="text1"/>
        </w:rPr>
        <w:t xml:space="preserve">, </w:t>
      </w:r>
      <w:r w:rsidRPr="007F46AB" w:rsidR="007F46AB">
        <w:rPr>
          <w:rFonts w:ascii="Arial" w:hAnsi="Arial" w:eastAsia="Arial" w:cs="Arial"/>
          <w:color w:val="000000" w:themeColor="text1"/>
        </w:rPr>
        <w:t>autarquia federal</w:t>
      </w:r>
      <w:r w:rsidRPr="0053521F" w:rsidR="00925209">
        <w:rPr>
          <w:rFonts w:ascii="Arial" w:hAnsi="Arial" w:eastAsia="Arial" w:cs="Arial"/>
          <w:color w:val="000000" w:themeColor="text1"/>
        </w:rPr>
        <w:t xml:space="preserve">. </w:t>
      </w:r>
    </w:p>
    <w:p w:rsidRPr="0053521F" w:rsidR="00CD27EE" w:rsidP="0053521F" w:rsidRDefault="00483322" w14:paraId="0912DBCE" w14:textId="07FD866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 xml:space="preserve">O projeto tem como objetivo </w:t>
      </w:r>
      <w:r w:rsidRPr="0053521F" w:rsidR="00CD27EE">
        <w:rPr>
          <w:rFonts w:ascii="Arial" w:hAnsi="Arial" w:eastAsia="Arial" w:cs="Arial"/>
          <w:color w:val="000000" w:themeColor="text1"/>
        </w:rPr>
        <w:t xml:space="preserve">principal o rebaixamento do nível de água local necessário devido à superficialidade do lençol freático, que está impedindo o avanço das escavações e o </w:t>
      </w:r>
      <w:proofErr w:type="spellStart"/>
      <w:r w:rsidRPr="0053521F" w:rsidR="00CD27EE">
        <w:rPr>
          <w:rFonts w:ascii="Arial" w:hAnsi="Arial" w:eastAsia="Arial" w:cs="Arial"/>
          <w:color w:val="000000" w:themeColor="text1"/>
        </w:rPr>
        <w:t>retaludamento</w:t>
      </w:r>
      <w:proofErr w:type="spellEnd"/>
      <w:r w:rsidRPr="0053521F" w:rsidR="00CD27EE">
        <w:rPr>
          <w:rFonts w:ascii="Arial" w:hAnsi="Arial" w:eastAsia="Arial" w:cs="Arial"/>
          <w:color w:val="000000" w:themeColor="text1"/>
        </w:rPr>
        <w:t xml:space="preserve"> da rodovia, por meio de uma estrutura de drenagem subterrânea.</w:t>
      </w:r>
      <w:r w:rsidRPr="0053521F" w:rsidR="00492943">
        <w:rPr>
          <w:rFonts w:ascii="Arial" w:hAnsi="Arial" w:eastAsia="Arial" w:cs="Arial"/>
          <w:color w:val="000000" w:themeColor="text1"/>
        </w:rPr>
        <w:t xml:space="preserve"> O projeto, no momento, encontra-se paralisado, aguardando a </w:t>
      </w:r>
      <w:r w:rsidRPr="0053521F" w:rsidR="00E247A0">
        <w:rPr>
          <w:rFonts w:ascii="Arial" w:hAnsi="Arial" w:eastAsia="Arial" w:cs="Arial"/>
          <w:color w:val="000000" w:themeColor="text1"/>
        </w:rPr>
        <w:t>O</w:t>
      </w:r>
      <w:r w:rsidRPr="0053521F" w:rsidR="00492943">
        <w:rPr>
          <w:rFonts w:ascii="Arial" w:hAnsi="Arial" w:eastAsia="Arial" w:cs="Arial"/>
          <w:color w:val="000000" w:themeColor="text1"/>
        </w:rPr>
        <w:t>utorga.</w:t>
      </w:r>
    </w:p>
    <w:p w:rsidRPr="0053521F" w:rsidR="00C1410C" w:rsidP="0053521F" w:rsidRDefault="00483322" w14:paraId="367BD28A" w14:textId="0500FD56">
      <w:pPr>
        <w:tabs>
          <w:tab w:val="left" w:pos="567"/>
          <w:tab w:val="left" w:pos="1134"/>
          <w:tab w:val="left" w:pos="1843"/>
        </w:tabs>
        <w:spacing w:before="240"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>De acordo com os estudos apresentados</w:t>
      </w:r>
      <w:r w:rsidRPr="0053521F" w:rsidR="006D4A8D">
        <w:rPr>
          <w:rFonts w:ascii="Arial" w:hAnsi="Arial" w:eastAsia="Arial" w:cs="Arial"/>
          <w:color w:val="000000" w:themeColor="text1"/>
        </w:rPr>
        <w:t xml:space="preserve"> e relatório técnico</w:t>
      </w:r>
      <w:r w:rsidRPr="0053521F" w:rsidR="00B833F0">
        <w:rPr>
          <w:rFonts w:ascii="Arial" w:hAnsi="Arial" w:eastAsia="Arial" w:cs="Arial"/>
          <w:color w:val="000000" w:themeColor="text1"/>
        </w:rPr>
        <w:t xml:space="preserve">, </w:t>
      </w:r>
      <w:r w:rsidRPr="0053521F" w:rsidR="008128F0">
        <w:rPr>
          <w:rFonts w:ascii="Arial" w:hAnsi="Arial" w:eastAsia="Arial" w:cs="Arial"/>
          <w:color w:val="000000" w:themeColor="text1"/>
        </w:rPr>
        <w:t>o impacto</w:t>
      </w:r>
      <w:r w:rsidRPr="0053521F" w:rsidR="006D4A8D">
        <w:rPr>
          <w:rFonts w:ascii="Arial" w:hAnsi="Arial" w:eastAsia="Arial" w:cs="Arial"/>
          <w:color w:val="000000" w:themeColor="text1"/>
        </w:rPr>
        <w:t xml:space="preserve"> e interferências do projeto são baixas ou inexistentes no sistema aquífero local. Testes de campo realizados em uma cisterna e um poço tubular próximos atestaram que não existe interferência hidrodinâmica entre as captações vizinhas, uma vez que o rebaixamento afeta o horizonte de solo superficial, enquanto o poço tubular capta água em um aquífero fissural mais profundo. Essa limitação de influência é corroborada pela </w:t>
      </w:r>
      <w:r w:rsidRPr="0053521F" w:rsidR="006D4A8D">
        <w:rPr>
          <w:rFonts w:ascii="Arial" w:hAnsi="Arial" w:eastAsia="Arial" w:cs="Arial"/>
          <w:color w:val="000000" w:themeColor="text1"/>
        </w:rPr>
        <w:t xml:space="preserve">baixa condutividade hidráulica da matriz argilosa local, que restringe o raio de influência ao próprio perímetro da obra. </w:t>
      </w:r>
      <w:r w:rsidRPr="0053521F" w:rsidR="00C1410C">
        <w:rPr>
          <w:rFonts w:ascii="Arial" w:hAnsi="Arial" w:eastAsia="Arial" w:cs="Arial"/>
          <w:color w:val="000000" w:themeColor="text1"/>
        </w:rPr>
        <w:t>A vazão máxima projetada do sistema, que serve como base para a outorga, é de 975,6 m³/hora (ou 271 l/</w:t>
      </w:r>
      <w:proofErr w:type="spellStart"/>
      <w:r w:rsidRPr="0053521F" w:rsidR="00C1410C">
        <w:rPr>
          <w:rFonts w:ascii="Arial" w:hAnsi="Arial" w:eastAsia="Arial" w:cs="Arial"/>
          <w:color w:val="000000" w:themeColor="text1"/>
        </w:rPr>
        <w:t>seg</w:t>
      </w:r>
      <w:proofErr w:type="spellEnd"/>
      <w:r w:rsidRPr="0053521F" w:rsidR="00C1410C">
        <w:rPr>
          <w:rFonts w:ascii="Arial" w:hAnsi="Arial" w:eastAsia="Arial" w:cs="Arial"/>
          <w:color w:val="000000" w:themeColor="text1"/>
        </w:rPr>
        <w:t>). Essa vazão foi calculada com um tempo de recorrência de 50 anos, representando o pior caso possível no local</w:t>
      </w:r>
      <w:r w:rsidRPr="0053521F" w:rsidR="00E247A0">
        <w:rPr>
          <w:rFonts w:ascii="Arial" w:hAnsi="Arial" w:eastAsia="Arial" w:cs="Arial"/>
          <w:color w:val="000000" w:themeColor="text1"/>
        </w:rPr>
        <w:t>, e está relacionada à microbacia a partir do ponto central da obra, e não a possíveis contribuições do horizonte de solo.</w:t>
      </w:r>
      <w:r w:rsidRPr="0053521F" w:rsidR="00267204">
        <w:rPr>
          <w:rFonts w:ascii="Arial" w:hAnsi="Arial" w:eastAsia="Arial" w:cs="Arial"/>
          <w:color w:val="000000" w:themeColor="text1"/>
        </w:rPr>
        <w:t xml:space="preserve"> Este volume será direcionado por gravidade para a rede de drenagem pluvial municipal existente </w:t>
      </w:r>
      <w:r w:rsidRPr="0053521F" w:rsidR="0086533A">
        <w:rPr>
          <w:rFonts w:ascii="Arial" w:hAnsi="Arial" w:eastAsia="Arial" w:cs="Arial"/>
          <w:color w:val="000000" w:themeColor="text1"/>
        </w:rPr>
        <w:t>em</w:t>
      </w:r>
      <w:r w:rsidRPr="0053521F" w:rsidR="00267204">
        <w:rPr>
          <w:rFonts w:ascii="Arial" w:hAnsi="Arial" w:eastAsia="Arial" w:cs="Arial"/>
          <w:color w:val="000000" w:themeColor="text1"/>
        </w:rPr>
        <w:t xml:space="preserve"> área de domínio da rodovia, sem causar intervenção ou impacto em propriedades no entorno da obra.</w:t>
      </w:r>
    </w:p>
    <w:p w:rsidRPr="0053521F" w:rsidR="00E77060" w:rsidP="0053521F" w:rsidRDefault="00483322" w14:paraId="3E0DE2D7" w14:textId="77777777">
      <w:pPr>
        <w:tabs>
          <w:tab w:val="left" w:pos="567"/>
          <w:tab w:val="left" w:pos="1134"/>
          <w:tab w:val="left" w:pos="1843"/>
        </w:tabs>
        <w:spacing w:before="240"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>A Deliberação Normativa do CERH nº 31/2009 estabelece que a análise do pleito da outorga deve considerar alguns conceitos, conforme trecho transcrito a seguir:</w:t>
      </w:r>
    </w:p>
    <w:p w:rsidRPr="0053521F" w:rsidR="00E77060" w:rsidP="0053521F" w:rsidRDefault="00483322" w14:paraId="3E0DE2D8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Art. 4º - Para a decisão dos processos de outorga de empreendimentos de grande porte e com potencial poluidor, os comitês de bacia hidrográfica deverão se basear nos pareceres conclusivos encaminhados pelo IGAM ou pela SUPRAM, e nos seguintes quesitos, quando houver:</w:t>
      </w:r>
    </w:p>
    <w:p w:rsidRPr="0053521F" w:rsidR="00E77060" w:rsidP="0053521F" w:rsidRDefault="00483322" w14:paraId="3E0DE2D9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I</w:t>
      </w:r>
      <w:r w:rsidRPr="0053521F">
        <w:rPr>
          <w:rFonts w:ascii="Arial" w:hAnsi="Arial" w:eastAsia="Arial" w:cs="Arial"/>
          <w:i/>
          <w:color w:val="000000" w:themeColor="text1"/>
        </w:rPr>
        <w:tab/>
      </w:r>
      <w:r w:rsidRPr="0053521F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53521F">
        <w:rPr>
          <w:rFonts w:ascii="Arial" w:hAnsi="Arial" w:eastAsia="Arial" w:cs="Arial"/>
          <w:i/>
          <w:color w:val="000000" w:themeColor="text1"/>
        </w:rPr>
        <w:t>as</w:t>
      </w:r>
      <w:proofErr w:type="gramEnd"/>
      <w:r w:rsidRPr="0053521F">
        <w:rPr>
          <w:rFonts w:ascii="Arial" w:hAnsi="Arial" w:eastAsia="Arial" w:cs="Arial"/>
          <w:i/>
          <w:color w:val="000000" w:themeColor="text1"/>
        </w:rPr>
        <w:t xml:space="preserve"> prioridades de uso estabelecidas nos Planos Diretores de Recursos Hídricos ou em Deliberação dos Comitês;</w:t>
      </w:r>
    </w:p>
    <w:p w:rsidRPr="0053521F" w:rsidR="00E77060" w:rsidP="0053521F" w:rsidRDefault="00483322" w14:paraId="3E0DE2DA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II</w:t>
      </w:r>
      <w:r w:rsidRPr="0053521F">
        <w:rPr>
          <w:rFonts w:ascii="Arial" w:hAnsi="Arial" w:eastAsia="Arial" w:cs="Arial"/>
          <w:i/>
          <w:color w:val="000000" w:themeColor="text1"/>
        </w:rPr>
        <w:tab/>
      </w:r>
      <w:r w:rsidRPr="0053521F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53521F">
        <w:rPr>
          <w:rFonts w:ascii="Arial" w:hAnsi="Arial" w:eastAsia="Arial" w:cs="Arial"/>
          <w:i/>
          <w:color w:val="000000" w:themeColor="text1"/>
        </w:rPr>
        <w:t>a</w:t>
      </w:r>
      <w:proofErr w:type="gramEnd"/>
      <w:r w:rsidRPr="0053521F">
        <w:rPr>
          <w:rFonts w:ascii="Arial" w:hAnsi="Arial" w:eastAsia="Arial" w:cs="Arial"/>
          <w:i/>
          <w:color w:val="000000" w:themeColor="text1"/>
        </w:rPr>
        <w:t xml:space="preserve"> classe de enquadramento do corpo de água;</w:t>
      </w:r>
    </w:p>
    <w:p w:rsidRPr="0053521F" w:rsidR="00E77060" w:rsidP="0053521F" w:rsidRDefault="00483322" w14:paraId="3E0DE2DB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III</w:t>
      </w:r>
      <w:r w:rsidRPr="0053521F">
        <w:rPr>
          <w:rFonts w:ascii="Arial" w:hAnsi="Arial" w:eastAsia="Arial" w:cs="Arial"/>
          <w:i/>
          <w:color w:val="000000" w:themeColor="text1"/>
        </w:rPr>
        <w:tab/>
      </w:r>
      <w:r w:rsidRPr="0053521F">
        <w:rPr>
          <w:rFonts w:ascii="Arial" w:hAnsi="Arial" w:eastAsia="Arial" w:cs="Arial"/>
          <w:i/>
          <w:color w:val="000000" w:themeColor="text1"/>
        </w:rPr>
        <w:t>- a manutenção de condições adequadas ao transporte hidroviário, quando for o caso;</w:t>
      </w:r>
    </w:p>
    <w:p w:rsidRPr="0053521F" w:rsidR="00E77060" w:rsidP="0053521F" w:rsidRDefault="00483322" w14:paraId="3E0DE2DC" w14:textId="77777777">
      <w:pPr>
        <w:spacing w:before="118" w:after="24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53521F">
        <w:rPr>
          <w:rFonts w:ascii="Arial" w:hAnsi="Arial" w:eastAsia="Arial" w:cs="Arial"/>
          <w:i/>
          <w:color w:val="000000" w:themeColor="text1"/>
        </w:rPr>
        <w:t>IV</w:t>
      </w:r>
      <w:r w:rsidRPr="0053521F">
        <w:rPr>
          <w:rFonts w:ascii="Arial" w:hAnsi="Arial" w:eastAsia="Arial" w:cs="Arial"/>
          <w:i/>
          <w:color w:val="000000" w:themeColor="text1"/>
        </w:rPr>
        <w:tab/>
      </w:r>
      <w:r w:rsidRPr="0053521F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53521F">
        <w:rPr>
          <w:rFonts w:ascii="Arial" w:hAnsi="Arial" w:eastAsia="Arial" w:cs="Arial"/>
          <w:i/>
          <w:color w:val="000000" w:themeColor="text1"/>
        </w:rPr>
        <w:t>a</w:t>
      </w:r>
      <w:proofErr w:type="gramEnd"/>
      <w:r w:rsidRPr="0053521F">
        <w:rPr>
          <w:rFonts w:ascii="Arial" w:hAnsi="Arial" w:eastAsia="Arial" w:cs="Arial"/>
          <w:i/>
          <w:color w:val="000000" w:themeColor="text1"/>
        </w:rPr>
        <w:t xml:space="preserve"> necessidade de preservação dos usos múltiplos, explicitada em deliberações dos respectivos comitês.</w:t>
      </w:r>
    </w:p>
    <w:p w:rsidRPr="0053521F" w:rsidR="00E77060" w:rsidP="0053521F" w:rsidRDefault="00483322" w14:paraId="3E0DE2DD" w14:textId="404DDE09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  <w:shd w:val="clear" w:color="auto" w:fill="FFFF00"/>
        </w:rPr>
      </w:pPr>
      <w:r w:rsidRPr="0053521F">
        <w:rPr>
          <w:rFonts w:ascii="Arial" w:hAnsi="Arial" w:eastAsia="Arial" w:cs="Arial"/>
          <w:color w:val="000000" w:themeColor="text1"/>
        </w:rPr>
        <w:t xml:space="preserve">Nesse sentido, cabe comentar que o Plano Diretor de Recursos Hídricos – PDRH da Bacia Hidrográfica </w:t>
      </w:r>
      <w:r w:rsidR="006539A0">
        <w:rPr>
          <w:rFonts w:ascii="Arial" w:hAnsi="Arial" w:eastAsia="Arial" w:cs="Arial"/>
          <w:color w:val="000000" w:themeColor="text1"/>
        </w:rPr>
        <w:t xml:space="preserve">do Médio Rio Grande </w:t>
      </w:r>
      <w:r w:rsidRPr="0053521F">
        <w:rPr>
          <w:rFonts w:ascii="Arial" w:hAnsi="Arial" w:eastAsia="Arial" w:cs="Arial"/>
          <w:color w:val="000000" w:themeColor="text1"/>
        </w:rPr>
        <w:t xml:space="preserve">não estabelece, para a área objeto deste pedido de outorga, prioridades específicas de uso dos recursos hídricos. </w:t>
      </w:r>
    </w:p>
    <w:p w:rsidRPr="0053521F" w:rsidR="00E361FD" w:rsidP="0053521F" w:rsidRDefault="00483322" w14:paraId="7202781D" w14:textId="29087704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511C0D02" w:rsidR="00483322">
        <w:rPr>
          <w:rFonts w:ascii="Arial" w:hAnsi="Arial" w:eastAsia="Arial" w:cs="Arial"/>
          <w:color w:val="000000" w:themeColor="text1" w:themeTint="FF" w:themeShade="FF"/>
        </w:rPr>
        <w:t xml:space="preserve">Dessa forma, aplica-se o disposto na Lei nº 9.433/1997, segundo a qual, em situações de escassez, os usos prioritários são o consumo humano e </w:t>
      </w:r>
      <w:r w:rsidRPr="511C0D02" w:rsidR="00483322">
        <w:rPr>
          <w:rFonts w:ascii="Arial" w:hAnsi="Arial" w:eastAsia="Arial" w:cs="Arial"/>
          <w:color w:val="000000" w:themeColor="text1" w:themeTint="FF" w:themeShade="FF"/>
        </w:rPr>
        <w:t xml:space="preserve">a dessedentação de animais. No caso em questão, </w:t>
      </w:r>
      <w:r w:rsidRPr="511C0D02" w:rsidR="005A55C7">
        <w:rPr>
          <w:rFonts w:ascii="Arial" w:hAnsi="Arial" w:eastAsia="Arial" w:cs="Arial"/>
          <w:color w:val="000000" w:themeColor="text1" w:themeTint="FF" w:themeShade="FF"/>
        </w:rPr>
        <w:t xml:space="preserve">o procedimento </w:t>
      </w:r>
      <w:r w:rsidRPr="511C0D02" w:rsidR="0DE64969">
        <w:rPr>
          <w:rFonts w:ascii="Arial" w:hAnsi="Arial" w:eastAsia="Arial" w:cs="Arial"/>
          <w:color w:val="000000" w:themeColor="text1" w:themeTint="FF" w:themeShade="FF"/>
        </w:rPr>
        <w:t>consiste em</w:t>
      </w:r>
      <w:r w:rsidRPr="511C0D02" w:rsidR="005A55C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11C0D02" w:rsidR="00826BF6">
        <w:rPr>
          <w:rFonts w:ascii="Arial" w:hAnsi="Arial" w:eastAsia="Arial" w:cs="Arial"/>
          <w:color w:val="000000" w:themeColor="text1" w:themeTint="FF" w:themeShade="FF"/>
        </w:rPr>
        <w:t xml:space="preserve">coletar o excesso de água do subsolo e conduzi-lo para fora da área de influência direta </w:t>
      </w:r>
      <w:r w:rsidRPr="511C0D02" w:rsidR="00FA6AF5">
        <w:rPr>
          <w:rFonts w:ascii="Arial" w:hAnsi="Arial" w:eastAsia="Arial" w:cs="Arial"/>
          <w:color w:val="000000" w:themeColor="text1" w:themeTint="FF" w:themeShade="FF"/>
        </w:rPr>
        <w:t>da rodovia</w:t>
      </w:r>
      <w:r w:rsidRPr="511C0D02" w:rsidR="00826BF6">
        <w:rPr>
          <w:rFonts w:ascii="Arial" w:hAnsi="Arial" w:eastAsia="Arial" w:cs="Arial"/>
          <w:color w:val="000000" w:themeColor="text1" w:themeTint="FF" w:themeShade="FF"/>
        </w:rPr>
        <w:t>.</w:t>
      </w:r>
      <w:bookmarkStart w:name="_Hlk205890320" w:id="2"/>
      <w:r w:rsidRPr="511C0D02" w:rsidR="00826BF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11C0D02" w:rsidR="00E361FD">
        <w:rPr>
          <w:rFonts w:ascii="Arial" w:hAnsi="Arial" w:cs="Arial"/>
          <w:color w:val="000000" w:themeColor="text1" w:themeTint="FF" w:themeShade="FF"/>
        </w:rPr>
        <w:t>Trata-se, portanto, de um uso não consuntivo, conforme explicitado no parecer técnico.</w:t>
      </w:r>
      <w:bookmarkEnd w:id="2"/>
    </w:p>
    <w:p w:rsidRPr="0053521F" w:rsidR="00E77060" w:rsidP="0053521F" w:rsidRDefault="00483322" w14:paraId="3E0DE2DF" w14:textId="392C9195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  <w:r w:rsidRPr="0053521F">
        <w:rPr>
          <w:rFonts w:ascii="Arial" w:hAnsi="Arial" w:eastAsia="Arial" w:cs="Arial"/>
          <w:color w:val="000000" w:themeColor="text1"/>
        </w:rPr>
        <w:t xml:space="preserve">Quanto ao enquadramento do curso de água em questão, a Circunscrição Hidrográfica </w:t>
      </w:r>
      <w:r w:rsidRPr="0053521F" w:rsidR="00C56499">
        <w:rPr>
          <w:rFonts w:ascii="Arial" w:hAnsi="Arial" w:eastAsia="Arial" w:cs="Arial"/>
          <w:color w:val="000000" w:themeColor="text1"/>
        </w:rPr>
        <w:t>GD</w:t>
      </w:r>
      <w:r w:rsidRPr="0053521F" w:rsidR="00FA6AF5">
        <w:rPr>
          <w:rFonts w:ascii="Arial" w:hAnsi="Arial" w:eastAsia="Arial" w:cs="Arial"/>
          <w:color w:val="000000" w:themeColor="text1"/>
        </w:rPr>
        <w:t>7</w:t>
      </w:r>
      <w:r w:rsidRPr="0053521F">
        <w:rPr>
          <w:rFonts w:ascii="Arial" w:hAnsi="Arial" w:eastAsia="Arial" w:cs="Arial"/>
          <w:color w:val="000000" w:themeColor="text1"/>
        </w:rPr>
        <w:t xml:space="preserve"> ainda não possui este instrumento de gestão implantado. </w:t>
      </w:r>
    </w:p>
    <w:p w:rsidRPr="0053521F" w:rsidR="00FA6AF5" w:rsidP="0053521F" w:rsidRDefault="00483322" w14:paraId="4FD86423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 xml:space="preserve">No que diz respeito à manutenção de condições adequadas ao transporte hidroviário, esta não se aplica, uma vez que não é um uso identificado no trecho em análise. </w:t>
      </w:r>
    </w:p>
    <w:p w:rsidRPr="0053521F" w:rsidR="00E77060" w:rsidP="119310C1" w:rsidRDefault="00483322" w14:paraId="23D2CE9E" w14:textId="0EB4E139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0053521F" w:rsidR="00483322">
        <w:rPr>
          <w:rFonts w:ascii="Arial" w:hAnsi="Arial" w:eastAsia="Arial" w:cs="Arial"/>
          <w:color w:val="000000" w:themeColor="text1"/>
        </w:rPr>
        <w:t xml:space="preserve">Quanto à necessidade de preservação dos usos múltiplos, </w:t>
      </w:r>
      <w:r w:rsidRPr="0053521F" w:rsidR="709DC55D">
        <w:rPr>
          <w:rFonts w:ascii="Arial" w:hAnsi="Arial" w:eastAsia="Arial" w:cs="Arial"/>
          <w:color w:val="000000" w:themeColor="text1"/>
        </w:rPr>
        <w:t>a intervenção não compromete o uso da água subterrânea por terceiros</w:t>
      </w:r>
      <w:r w:rsidRPr="0053521F" w:rsidR="08BCE074">
        <w:rPr>
          <w:rFonts w:ascii="Arial" w:hAnsi="Arial" w:eastAsia="Arial" w:cs="Arial"/>
          <w:color w:val="000000" w:themeColor="text1"/>
        </w:rPr>
        <w:t xml:space="preserve">. </w:t>
      </w:r>
      <w:r w:rsidRPr="0053521F" w:rsidR="57D9EE0B">
        <w:rPr>
          <w:rFonts w:ascii="Arial" w:hAnsi="Arial" w:eastAsia="Arial" w:cs="Arial"/>
          <w:color w:val="000000" w:themeColor="text1"/>
        </w:rPr>
        <w:t xml:space="preserve"> </w:t>
      </w:r>
      <w:r w:rsidRPr="0053521F" w:rsidR="709DC55D">
        <w:rPr>
          <w:rFonts w:ascii="Arial" w:hAnsi="Arial" w:eastAsia="Arial" w:cs="Arial"/>
          <w:color w:val="000000" w:themeColor="text1"/>
        </w:rPr>
        <w:t>Vale destacar, que o vol</w:t>
      </w:r>
      <w:r w:rsidRPr="0053521F" w:rsidR="709DC55D">
        <w:rPr>
          <w:rFonts w:ascii="Arial" w:hAnsi="Arial" w:eastAsia="Arial" w:cs="Arial"/>
          <w:color w:val="000000" w:themeColor="text1"/>
        </w:rPr>
        <w:t>ume máximo projetado de descarte em rede pluvial</w:t>
      </w:r>
      <w:r w:rsidRPr="0053521F" w:rsidR="0D2868F1">
        <w:rPr>
          <w:rFonts w:ascii="Arial" w:hAnsi="Arial" w:eastAsia="Arial" w:cs="Arial"/>
          <w:color w:val="000000" w:themeColor="text1"/>
        </w:rPr>
        <w:t xml:space="preserve"> é significat</w:t>
      </w:r>
      <w:r w:rsidRPr="0053521F" w:rsidR="0D2868F1">
        <w:rPr>
          <w:rFonts w:ascii="Arial" w:hAnsi="Arial" w:eastAsia="Arial" w:cs="Arial"/>
          <w:color w:val="000000" w:themeColor="text1"/>
        </w:rPr>
        <w:t xml:space="preserve">ivo, </w:t>
      </w:r>
      <w:r w:rsidRPr="0053521F" w:rsidR="0D2868F1">
        <w:rPr>
          <w:rFonts w:ascii="Arial" w:hAnsi="Arial" w:eastAsia="Arial" w:cs="Arial"/>
          <w:color w:val="000000" w:themeColor="text1"/>
          <w:shd w:val="clear" w:color="auto" w:fill="FFFF00"/>
        </w:rPr>
        <w:t xml:space="preserve">e dessa forma aconselhamos que </w:t>
      </w:r>
      <w:r w:rsidR="246C53ED">
        <w:rPr>
          <w:rFonts w:ascii="Arial" w:hAnsi="Arial" w:eastAsia="Arial" w:cs="Arial"/>
          <w:color w:val="000000" w:themeColor="text1"/>
          <w:shd w:val="clear" w:color="auto" w:fill="FFFF00"/>
        </w:rPr>
        <w:t>se</w:t>
      </w:r>
      <w:r w:rsidRPr="0053521F" w:rsidR="0D2868F1">
        <w:rPr>
          <w:rFonts w:ascii="Arial" w:hAnsi="Arial" w:eastAsia="Arial" w:cs="Arial"/>
          <w:color w:val="000000" w:themeColor="text1"/>
          <w:shd w:val="clear" w:color="auto" w:fill="FFFF00"/>
        </w:rPr>
        <w:t xml:space="preserve"> assegur</w:t>
      </w:r>
      <w:r w:rsidR="246C53ED">
        <w:rPr>
          <w:rFonts w:ascii="Arial" w:hAnsi="Arial" w:eastAsia="Arial" w:cs="Arial"/>
          <w:color w:val="000000" w:themeColor="text1"/>
          <w:shd w:val="clear" w:color="auto" w:fill="FFFF00"/>
        </w:rPr>
        <w:t>e</w:t>
      </w:r>
      <w:r w:rsidRPr="0053521F" w:rsidR="0D2868F1">
        <w:rPr>
          <w:rFonts w:ascii="Arial" w:hAnsi="Arial" w:eastAsia="Arial" w:cs="Arial"/>
          <w:color w:val="000000" w:themeColor="text1"/>
          <w:shd w:val="clear" w:color="auto" w:fill="FFFF00"/>
        </w:rPr>
        <w:t xml:space="preserve"> que não haverá sobrecarga da infraestrutura de drenagem </w:t>
      </w:r>
      <w:r w:rsidRPr="0053521F" w:rsidR="2BADC432">
        <w:rPr>
          <w:rFonts w:ascii="Arial" w:hAnsi="Arial" w:eastAsia="Arial" w:cs="Arial"/>
          <w:color w:val="000000" w:themeColor="text1"/>
          <w:shd w:val="clear" w:color="auto" w:fill="FFFF00"/>
        </w:rPr>
        <w:t xml:space="preserve">pluvial </w:t>
      </w:r>
      <w:r w:rsidR="246C53ED">
        <w:rPr>
          <w:rFonts w:ascii="Arial" w:hAnsi="Arial" w:eastAsia="Arial" w:cs="Arial"/>
          <w:color w:val="000000" w:themeColor="text1"/>
          <w:shd w:val="clear" w:color="auto" w:fill="FFFF00"/>
        </w:rPr>
        <w:t>local</w:t>
      </w:r>
      <w:r w:rsidRPr="0053521F" w:rsidR="2BADC432">
        <w:rPr>
          <w:rFonts w:ascii="Arial" w:hAnsi="Arial" w:eastAsia="Arial" w:cs="Arial"/>
          <w:color w:val="000000" w:themeColor="text1"/>
          <w:shd w:val="clear" w:color="auto" w:fill="FFFF00"/>
        </w:rPr>
        <w:t xml:space="preserve">. </w:t>
      </w:r>
      <w:r w:rsidRPr="0053521F" w:rsidR="7B513CE8">
        <w:rPr>
          <w:rFonts w:ascii="Arial" w:hAnsi="Arial" w:eastAsia="Arial" w:cs="Arial"/>
          <w:color w:val="000000" w:themeColor="text1"/>
          <w:shd w:val="clear" w:color="auto" w:fill="FFFF00"/>
        </w:rPr>
        <w:t xml:space="preserve">Recomendamos 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que seja feit</w:t>
      </w:r>
      <w:r w:rsidRPr="0053521F" w:rsidR="780ED18E">
        <w:rPr>
          <w:rFonts w:ascii="Arial" w:hAnsi="Arial" w:eastAsia="Arial" w:cs="Arial"/>
          <w:color w:val="000000" w:themeColor="text1"/>
          <w:shd w:val="clear" w:color="auto" w:fill="FFFF00"/>
        </w:rPr>
        <w:t xml:space="preserve">o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 o Cadastro de </w:t>
      </w:r>
      <w:r w:rsidRPr="0053521F" w:rsidR="2E458664">
        <w:rPr>
          <w:rFonts w:ascii="Arial" w:hAnsi="Arial" w:eastAsia="Arial" w:cs="Arial"/>
          <w:color w:val="000000" w:themeColor="text1"/>
          <w:shd w:val="clear" w:color="auto" w:fill="FFFF00"/>
        </w:rPr>
        <w:t xml:space="preserve">U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so </w:t>
      </w:r>
      <w:r w:rsidRPr="0053521F" w:rsidR="4DCE4E17">
        <w:rPr>
          <w:rFonts w:ascii="Arial" w:hAnsi="Arial" w:eastAsia="Arial" w:cs="Arial"/>
          <w:color w:val="000000" w:themeColor="text1"/>
          <w:shd w:val="clear" w:color="auto" w:fill="FFFF00"/>
        </w:rPr>
        <w:t xml:space="preserve">I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sento</w:t>
      </w:r>
      <w:r w:rsidRPr="0053521F" w:rsidR="1627AD8C">
        <w:rPr>
          <w:rFonts w:ascii="Arial" w:hAnsi="Arial" w:eastAsia="Arial" w:cs="Arial"/>
          <w:color w:val="000000" w:themeColor="text1"/>
          <w:shd w:val="clear" w:color="auto" w:fill="FFFF00"/>
        </w:rPr>
        <w:t xml:space="preserve"> (para a travessia)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, </w:t>
      </w:r>
      <w:r w:rsidRPr="0053521F" w:rsidR="5EACC475">
        <w:rPr>
          <w:rFonts w:ascii="Arial" w:hAnsi="Arial" w:eastAsia="Arial" w:cs="Arial"/>
          <w:color w:val="000000" w:themeColor="text1"/>
          <w:shd w:val="clear" w:color="auto" w:fill="FFFF00"/>
        </w:rPr>
        <w:t xml:space="preserve">onde</w:t>
      </w:r>
      <w:r w:rsidRPr="0053521F" w:rsidR="526C70AA">
        <w:rPr>
          <w:rFonts w:ascii="Arial" w:hAnsi="Arial" w:eastAsia="Arial" w:cs="Arial"/>
          <w:color w:val="000000" w:themeColor="text1"/>
          <w:shd w:val="clear" w:color="auto" w:fill="FFFF00"/>
        </w:rPr>
        <w:t xml:space="preserve"> </w:t>
      </w:r>
      <w:r w:rsidRPr="0053521F" w:rsidR="45F18C5B">
        <w:rPr>
          <w:rFonts w:ascii="Arial" w:hAnsi="Arial" w:eastAsia="Arial" w:cs="Arial"/>
          <w:color w:val="000000" w:themeColor="text1"/>
          <w:shd w:val="clear" w:color="auto" w:fill="FFFF00"/>
        </w:rPr>
        <w:t xml:space="preserve">será fornecido o dimensionamento da tubulação receptora.</w:t>
      </w:r>
    </w:p>
    <w:p w:rsidRPr="0053521F" w:rsidR="00E77060" w:rsidP="0053521F" w:rsidRDefault="00483322" w14:paraId="3E0DE2E0" w14:textId="10AF8001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 w:rsidR="0D2868F1">
        <w:rPr>
          <w:rFonts w:ascii="Arial" w:hAnsi="Arial" w:eastAsia="Arial" w:cs="Arial"/>
          <w:color w:val="000000" w:themeColor="text1"/>
          <w:shd w:val="clear" w:color="auto" w:fill="FFFF00"/>
        </w:rPr>
        <w:t>Contudo, a execução, operação e comprovação da eficiência destes sistemas são de inteira responsabilidade da própria empresa e/ou do seu responsável técnico</w:t>
      </w:r>
      <w:r w:rsidRPr="0053521F" w:rsidR="0D2868F1">
        <w:rPr>
          <w:rFonts w:ascii="Arial" w:hAnsi="Arial" w:eastAsia="Arial" w:cs="Arial"/>
          <w:color w:val="000000" w:themeColor="text1"/>
        </w:rPr>
        <w:t xml:space="preserve">. </w:t>
      </w:r>
      <w:r w:rsidRPr="0053521F" w:rsidR="4598BD75">
        <w:rPr>
          <w:rFonts w:ascii="Arial" w:hAnsi="Arial" w:eastAsia="Arial" w:cs="Arial"/>
          <w:color w:val="000000" w:themeColor="text1"/>
        </w:rPr>
        <w:t>Dessa forma</w:t>
      </w:r>
      <w:r w:rsidRPr="0053521F" w:rsidR="0D2868F1">
        <w:rPr>
          <w:rFonts w:ascii="Arial" w:hAnsi="Arial" w:eastAsia="Arial" w:cs="Arial"/>
          <w:color w:val="000000" w:themeColor="text1"/>
        </w:rPr>
        <w:t xml:space="preserve">, o projeto </w:t>
      </w:r>
      <w:r w:rsidRPr="0053521F" w:rsidR="4598BD75">
        <w:rPr>
          <w:rFonts w:ascii="Arial" w:hAnsi="Arial" w:eastAsia="Arial" w:cs="Arial"/>
          <w:color w:val="000000" w:themeColor="text1"/>
        </w:rPr>
        <w:t xml:space="preserve">não </w:t>
      </w:r>
      <w:r w:rsidRPr="0053521F" w:rsidR="00483322">
        <w:rPr>
          <w:rFonts w:ascii="Arial" w:hAnsi="Arial" w:eastAsia="Arial" w:cs="Arial"/>
          <w:color w:val="000000" w:themeColor="text1"/>
        </w:rPr>
        <w:t>implic</w:t>
      </w:r>
      <w:r w:rsidRPr="0053521F" w:rsidR="08BCE074">
        <w:rPr>
          <w:rFonts w:ascii="Arial" w:hAnsi="Arial" w:eastAsia="Arial" w:cs="Arial"/>
          <w:color w:val="000000" w:themeColor="text1"/>
        </w:rPr>
        <w:t>aria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 prejuízo aos múltiplos usos locais e atende</w:t>
      </w:r>
      <w:r w:rsidRPr="0053521F" w:rsidR="75F5728D">
        <w:rPr>
          <w:rFonts w:ascii="Arial" w:hAnsi="Arial" w:eastAsia="Arial" w:cs="Arial"/>
          <w:color w:val="000000" w:themeColor="text1"/>
        </w:rPr>
        <w:t>ria</w:t>
      </w:r>
      <w:r w:rsidRPr="0053521F" w:rsidR="00483322">
        <w:rPr>
          <w:rFonts w:ascii="Arial" w:hAnsi="Arial" w:eastAsia="Arial" w:cs="Arial"/>
          <w:color w:val="000000" w:themeColor="text1"/>
        </w:rPr>
        <w:t xml:space="preserve"> ao disposto na legislação vigente</w:t>
      </w:r>
      <w:r w:rsidRPr="0053521F" w:rsidR="0D2868F1">
        <w:rPr>
          <w:rFonts w:ascii="Arial" w:hAnsi="Arial" w:eastAsia="Arial" w:cs="Arial"/>
          <w:color w:val="000000" w:themeColor="text1"/>
        </w:rPr>
        <w:t>.</w:t>
      </w:r>
    </w:p>
    <w:p w:rsidR="001C2AAD" w:rsidP="0053521F" w:rsidRDefault="00483322" w14:paraId="1E3D96F7" w14:textId="400BFCC9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119310C1" w:rsidR="00483322">
        <w:rPr>
          <w:rFonts w:ascii="Arial" w:hAnsi="Arial" w:eastAsia="Arial" w:cs="Arial"/>
          <w:color w:val="000000" w:themeColor="text1" w:themeTint="FF" w:themeShade="FF"/>
        </w:rPr>
        <w:t xml:space="preserve">Ressaltamos que a URGA </w:t>
      </w:r>
      <w:r w:rsidRPr="119310C1" w:rsidR="00442953">
        <w:rPr>
          <w:rFonts w:ascii="Arial" w:hAnsi="Arial" w:eastAsia="Arial" w:cs="Arial"/>
          <w:color w:val="000000" w:themeColor="text1" w:themeTint="FF" w:themeShade="FF"/>
        </w:rPr>
        <w:t>S</w:t>
      </w:r>
      <w:r w:rsidRPr="119310C1" w:rsidR="00483322">
        <w:rPr>
          <w:rFonts w:ascii="Arial" w:hAnsi="Arial" w:eastAsia="Arial" w:cs="Arial"/>
          <w:color w:val="000000" w:themeColor="text1" w:themeTint="FF" w:themeShade="FF"/>
        </w:rPr>
        <w:t>M realizou toda a análise do processo, tanto jurídica quanto tecnicamente, recomendando o deferimento da outorga</w:t>
      </w:r>
      <w:r w:rsidRPr="119310C1" w:rsidR="001C2AAD">
        <w:rPr>
          <w:rFonts w:ascii="Arial" w:hAnsi="Arial" w:eastAsia="Arial" w:cs="Arial"/>
          <w:color w:val="000000" w:themeColor="text1" w:themeTint="FF" w:themeShade="FF"/>
        </w:rPr>
        <w:t xml:space="preserve"> com condicionantes de monitoramento </w:t>
      </w:r>
      <w:r w:rsidRPr="119310C1" w:rsidR="001C2AAD">
        <w:rPr>
          <w:rFonts w:ascii="Arial" w:hAnsi="Arial" w:eastAsia="Arial" w:cs="Arial"/>
          <w:color w:val="000000" w:themeColor="text1" w:themeTint="FF" w:themeShade="FF"/>
        </w:rPr>
        <w:t>do nível do aquífero de forma mensal durante períodos de estiagem e quinzenalmente durante períodos chuvosos</w:t>
      </w:r>
      <w:r w:rsidRPr="119310C1" w:rsidR="0015153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19310C1" w:rsidR="001C2AAD">
        <w:rPr>
          <w:rFonts w:ascii="Arial" w:hAnsi="Arial" w:eastAsia="Arial" w:cs="Arial"/>
          <w:color w:val="000000" w:themeColor="text1" w:themeTint="FF" w:themeShade="FF"/>
        </w:rPr>
        <w:t>durante a vigência da portaria de outorga.</w:t>
      </w:r>
    </w:p>
    <w:p w:rsidR="119310C1" w:rsidP="119310C1" w:rsidRDefault="119310C1" w14:paraId="010F8D57" w14:textId="1D5F67F5">
      <w:pPr>
        <w:tabs>
          <w:tab w:val="left" w:leader="none" w:pos="567"/>
          <w:tab w:val="left" w:leader="none" w:pos="1134"/>
          <w:tab w:val="left" w:leader="none" w:pos="1843"/>
        </w:tabs>
        <w:spacing w:after="240" w:line="360" w:lineRule="auto"/>
        <w:ind w:left="567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</w:p>
    <w:p w:rsidRPr="0053521F" w:rsidR="00E77060" w:rsidP="00151538" w:rsidRDefault="00483322" w14:paraId="3E0DE2E2" w14:textId="0485EF91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b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CONCLUSÃO</w:t>
      </w:r>
    </w:p>
    <w:p w:rsidRPr="0053521F" w:rsidR="00E77060" w:rsidP="0053521F" w:rsidRDefault="00483322" w14:paraId="3E0DE2E3" w14:textId="228D059B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>C</w:t>
      </w:r>
      <w:r w:rsidRPr="0053521F">
        <w:rPr>
          <w:rFonts w:ascii="Arial" w:hAnsi="Arial" w:eastAsia="Arial" w:cs="Arial"/>
          <w:color w:val="000000" w:themeColor="text1"/>
        </w:rPr>
        <w:t>om base nos apontamentos realizados, bem como no parecer técnico apresentado pela URGA-</w:t>
      </w:r>
      <w:r w:rsidRPr="0053521F" w:rsidR="00442953">
        <w:rPr>
          <w:rFonts w:ascii="Arial" w:hAnsi="Arial" w:eastAsia="Arial" w:cs="Arial"/>
          <w:color w:val="000000" w:themeColor="text1"/>
        </w:rPr>
        <w:t>S</w:t>
      </w:r>
      <w:r w:rsidRPr="0053521F">
        <w:rPr>
          <w:rFonts w:ascii="Arial" w:hAnsi="Arial" w:eastAsia="Arial" w:cs="Arial"/>
          <w:color w:val="000000" w:themeColor="text1"/>
        </w:rPr>
        <w:t>M e nos estudos</w:t>
      </w:r>
      <w:r w:rsidRPr="0053521F" w:rsidR="00442953">
        <w:rPr>
          <w:rFonts w:ascii="Arial" w:hAnsi="Arial" w:eastAsia="Arial" w:cs="Arial"/>
          <w:color w:val="000000" w:themeColor="text1"/>
        </w:rPr>
        <w:t xml:space="preserve"> hidrológicos e hidráulicos</w:t>
      </w:r>
      <w:r w:rsidRPr="0053521F">
        <w:rPr>
          <w:rFonts w:ascii="Arial" w:hAnsi="Arial" w:eastAsia="Arial" w:cs="Arial"/>
          <w:color w:val="000000" w:themeColor="text1"/>
        </w:rPr>
        <w:t xml:space="preserve"> apresentados pelo empreendedor, com metodologia reconhecida tecnicamente, </w:t>
      </w:r>
      <w:r w:rsidRPr="0053521F" w:rsidR="00442953">
        <w:rPr>
          <w:rFonts w:ascii="Arial" w:hAnsi="Arial" w:eastAsia="Arial" w:cs="Arial"/>
          <w:color w:val="000000" w:themeColor="text1"/>
        </w:rPr>
        <w:t>os quais</w:t>
      </w:r>
      <w:r w:rsidRPr="0053521F">
        <w:rPr>
          <w:rFonts w:ascii="Arial" w:hAnsi="Arial" w:eastAsia="Arial" w:cs="Arial"/>
          <w:color w:val="000000" w:themeColor="text1"/>
        </w:rPr>
        <w:t xml:space="preserve"> avaliaram as estruturas do empreendimento, concluímos que, conforme as definições da Deliberação Normativa do </w:t>
      </w:r>
      <w:r w:rsidRPr="0053521F">
        <w:rPr>
          <w:rFonts w:ascii="Arial" w:hAnsi="Arial" w:eastAsia="Arial" w:cs="Arial"/>
          <w:color w:val="000000" w:themeColor="text1"/>
        </w:rPr>
        <w:t xml:space="preserve">CERH nº 31/2009, não há óbice ao deferimento da solicitação de outorga referente ao Processo </w:t>
      </w:r>
      <w:r w:rsidRPr="0053521F" w:rsidR="00BD56C9">
        <w:rPr>
          <w:rFonts w:ascii="Arial" w:hAnsi="Arial" w:eastAsia="Arial" w:cs="Arial"/>
          <w:color w:val="000000" w:themeColor="text1"/>
        </w:rPr>
        <w:t xml:space="preserve">nº. </w:t>
      </w:r>
      <w:r w:rsidRPr="0053521F" w:rsidR="003665E9">
        <w:rPr>
          <w:rFonts w:ascii="Arial" w:hAnsi="Arial" w:eastAsia="Arial" w:cs="Arial"/>
          <w:color w:val="000000" w:themeColor="text1"/>
        </w:rPr>
        <w:t>41590/2024</w:t>
      </w:r>
      <w:r w:rsidRPr="0053521F">
        <w:rPr>
          <w:rFonts w:ascii="Arial" w:hAnsi="Arial" w:eastAsia="Arial" w:cs="Arial"/>
          <w:color w:val="000000" w:themeColor="text1"/>
        </w:rPr>
        <w:t xml:space="preserve">pelo plenário do CBH </w:t>
      </w:r>
      <w:r w:rsidRPr="0053521F" w:rsidR="00E06B7E">
        <w:rPr>
          <w:rFonts w:ascii="Arial" w:hAnsi="Arial" w:cs="Arial"/>
          <w:color w:val="000000" w:themeColor="text1"/>
        </w:rPr>
        <w:t>dos Afluentes Mineiros do Médio Rio Grande</w:t>
      </w:r>
      <w:r w:rsidRPr="0053521F">
        <w:rPr>
          <w:rFonts w:ascii="Arial" w:hAnsi="Arial" w:eastAsia="Arial" w:cs="Arial"/>
          <w:color w:val="000000" w:themeColor="text1"/>
        </w:rPr>
        <w:t xml:space="preserve">, com validade de </w:t>
      </w:r>
      <w:r w:rsidRPr="0053521F" w:rsidR="00BD56C9">
        <w:rPr>
          <w:rFonts w:ascii="Arial" w:hAnsi="Arial" w:eastAsia="Arial" w:cs="Arial"/>
          <w:color w:val="000000" w:themeColor="text1"/>
        </w:rPr>
        <w:t xml:space="preserve">10 </w:t>
      </w:r>
      <w:r w:rsidRPr="0053521F">
        <w:rPr>
          <w:rFonts w:ascii="Arial" w:hAnsi="Arial" w:eastAsia="Arial" w:cs="Arial"/>
          <w:color w:val="000000" w:themeColor="text1"/>
        </w:rPr>
        <w:t xml:space="preserve">anos, como indicado pela URGA </w:t>
      </w:r>
      <w:r w:rsidRPr="0053521F" w:rsidR="00890844">
        <w:rPr>
          <w:rFonts w:ascii="Arial" w:hAnsi="Arial" w:eastAsia="Arial" w:cs="Arial"/>
          <w:color w:val="000000" w:themeColor="text1"/>
        </w:rPr>
        <w:t>S</w:t>
      </w:r>
      <w:r w:rsidRPr="0053521F">
        <w:rPr>
          <w:rFonts w:ascii="Arial" w:hAnsi="Arial" w:eastAsia="Arial" w:cs="Arial"/>
          <w:color w:val="000000" w:themeColor="text1"/>
        </w:rPr>
        <w:t>M.</w:t>
      </w:r>
      <w:r w:rsidRPr="0053521F" w:rsidR="00890844">
        <w:rPr>
          <w:rFonts w:ascii="Arial" w:hAnsi="Arial" w:eastAsia="Arial" w:cs="Arial"/>
          <w:color w:val="000000" w:themeColor="text1"/>
        </w:rPr>
        <w:t xml:space="preserve"> </w:t>
      </w:r>
    </w:p>
    <w:p w:rsidRPr="0053521F" w:rsidR="00E77060" w:rsidP="0053521F" w:rsidRDefault="00483322" w14:paraId="3E0DE2E4" w14:textId="1B5314C0">
      <w:pPr>
        <w:pStyle w:val="PargrafodaLista"/>
        <w:numPr>
          <w:ilvl w:val="0"/>
          <w:numId w:val="7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53521F">
        <w:rPr>
          <w:rFonts w:ascii="Arial" w:hAnsi="Arial" w:eastAsia="Arial" w:cs="Arial"/>
          <w:b/>
          <w:color w:val="000000" w:themeColor="text1"/>
        </w:rPr>
        <w:t>ENCAMINHAMENTO</w:t>
      </w:r>
    </w:p>
    <w:p w:rsidRPr="0053521F" w:rsidR="00E77060" w:rsidP="0053521F" w:rsidRDefault="00483322" w14:paraId="3E0DE2E5" w14:textId="595F2AB2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53521F">
        <w:rPr>
          <w:rFonts w:ascii="Arial" w:hAnsi="Arial" w:eastAsia="Arial" w:cs="Arial"/>
          <w:color w:val="000000" w:themeColor="text1"/>
        </w:rPr>
        <w:t xml:space="preserve">Esta Nota Técnica deverá ser encaminhada à Plenária do CBH </w:t>
      </w:r>
      <w:r w:rsidRPr="0053521F" w:rsidR="00E06B7E">
        <w:rPr>
          <w:rFonts w:ascii="Arial" w:hAnsi="Arial" w:cs="Arial"/>
          <w:color w:val="000000" w:themeColor="text1"/>
        </w:rPr>
        <w:t>dos Afluentes Mineiros do Médio Rio Grande</w:t>
      </w:r>
      <w:r w:rsidRPr="0053521F">
        <w:rPr>
          <w:rFonts w:ascii="Arial" w:hAnsi="Arial" w:eastAsia="Arial" w:cs="Arial"/>
          <w:color w:val="000000" w:themeColor="text1"/>
        </w:rPr>
        <w:t xml:space="preserve"> </w:t>
      </w:r>
      <w:r w:rsidRPr="0053521F" w:rsidR="002B651B">
        <w:rPr>
          <w:rFonts w:ascii="Arial" w:hAnsi="Arial" w:eastAsia="Arial" w:cs="Arial"/>
          <w:color w:val="000000" w:themeColor="text1"/>
        </w:rPr>
        <w:t>para captação de água subterrânea para fins de rebaixamento de nível de água para obras civis (24), no município de Alpinópolis/MG</w:t>
      </w:r>
      <w:r w:rsidRPr="0053521F">
        <w:rPr>
          <w:rFonts w:ascii="Arial" w:hAnsi="Arial" w:eastAsia="Arial" w:cs="Arial"/>
          <w:color w:val="000000" w:themeColor="text1"/>
        </w:rPr>
        <w:t>, no que lhe compete.</w:t>
      </w:r>
    </w:p>
    <w:p w:rsidRPr="0053521F" w:rsidR="00E77060" w:rsidP="0053521F" w:rsidRDefault="00442953" w14:paraId="3E0DE2E7" w14:textId="51F7C928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center"/>
        <w:rPr>
          <w:rFonts w:ascii="Arial" w:hAnsi="Arial" w:eastAsia="Arial" w:cs="Arial"/>
          <w:color w:val="000000" w:themeColor="text1"/>
          <w:shd w:val="clear" w:color="auto" w:fill="FFFF00"/>
        </w:rPr>
      </w:pPr>
      <w:r w:rsidRPr="119310C1" w:rsidR="00442953">
        <w:rPr>
          <w:rFonts w:ascii="Arial" w:hAnsi="Arial" w:eastAsia="Arial" w:cs="Arial"/>
          <w:color w:val="000000" w:themeColor="text1" w:themeTint="FF" w:themeShade="FF"/>
        </w:rPr>
        <w:t xml:space="preserve">Poço de Caldas, </w:t>
      </w:r>
      <w:r w:rsidRPr="119310C1" w:rsidR="00483322">
        <w:rPr>
          <w:rFonts w:ascii="Arial" w:hAnsi="Arial" w:eastAsia="Arial" w:cs="Arial"/>
          <w:color w:val="000000" w:themeColor="text1" w:themeTint="FF" w:themeShade="FF"/>
        </w:rPr>
        <w:t>02</w:t>
      </w:r>
      <w:r w:rsidRPr="119310C1" w:rsidR="00442953">
        <w:rPr>
          <w:rFonts w:ascii="Arial" w:hAnsi="Arial" w:eastAsia="Arial" w:cs="Arial"/>
          <w:color w:val="000000" w:themeColor="text1" w:themeTint="FF" w:themeShade="FF"/>
        </w:rPr>
        <w:t xml:space="preserve"> de </w:t>
      </w:r>
      <w:r w:rsidRPr="119310C1" w:rsidR="00483322">
        <w:rPr>
          <w:rFonts w:ascii="Arial" w:hAnsi="Arial" w:eastAsia="Arial" w:cs="Arial"/>
          <w:color w:val="000000" w:themeColor="text1" w:themeTint="FF" w:themeShade="FF"/>
        </w:rPr>
        <w:t>outubro</w:t>
      </w:r>
      <w:r w:rsidRPr="119310C1" w:rsidR="00442953">
        <w:rPr>
          <w:rFonts w:ascii="Arial" w:hAnsi="Arial" w:eastAsia="Arial" w:cs="Arial"/>
          <w:color w:val="000000" w:themeColor="text1" w:themeTint="FF" w:themeShade="FF"/>
        </w:rPr>
        <w:t xml:space="preserve"> de 2025.</w:t>
      </w:r>
    </w:p>
    <w:tbl>
      <w:tblPr>
        <w:tblW w:w="0" w:type="auto"/>
        <w:tblInd w:w="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4076"/>
      </w:tblGrid>
      <w:tr w:rsidRPr="00442953" w:rsidR="00442953" w14:paraId="3E0DE2ED" w14:textId="77777777">
        <w:trPr>
          <w:trHeight w:val="1"/>
        </w:trPr>
        <w:tc>
          <w:tcPr>
            <w:tcW w:w="42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53521F" w:rsidR="00E77060" w:rsidP="0053521F" w:rsidRDefault="00483322" w14:paraId="3E0DE2E9" w14:textId="3E7730FB">
            <w:pPr>
              <w:tabs>
                <w:tab w:val="left" w:pos="567"/>
                <w:tab w:val="left" w:pos="0"/>
              </w:tabs>
              <w:spacing w:after="0" w:line="360" w:lineRule="auto"/>
              <w:jc w:val="center"/>
              <w:rPr>
                <w:rFonts w:ascii="Segoe UI" w:hAnsi="Segoe UI" w:eastAsia="Segoe UI" w:cs="Segoe UI"/>
                <w:color w:val="000000" w:themeColor="text1"/>
              </w:rPr>
            </w:pPr>
            <w:r w:rsidRPr="0053521F">
              <w:rPr>
                <w:rFonts w:ascii="Arial" w:hAnsi="Arial" w:eastAsia="Arial" w:cs="Arial"/>
                <w:color w:val="000000" w:themeColor="text1"/>
              </w:rPr>
              <w:t>(assinado eletronicamente)</w:t>
            </w:r>
            <w:r w:rsidRPr="0053521F">
              <w:rPr>
                <w:rFonts w:ascii="Arial" w:hAnsi="Arial" w:eastAsia="Arial" w:cs="Arial"/>
                <w:color w:val="000000" w:themeColor="text1"/>
              </w:rPr>
              <w:br/>
            </w:r>
            <w:r w:rsidR="00AF221B">
              <w:rPr>
                <w:rFonts w:ascii="Arial" w:hAnsi="Arial" w:eastAsia="Arial" w:cs="Arial"/>
                <w:color w:val="000000" w:themeColor="text1"/>
              </w:rPr>
              <w:t>Ellen da Silva Fonte</w:t>
            </w:r>
          </w:p>
          <w:p w:rsidRPr="0053521F" w:rsidR="00E77060" w:rsidP="0053521F" w:rsidRDefault="00AF221B" w14:paraId="3E0DE2EA" w14:textId="56F46164">
            <w:pPr>
              <w:tabs>
                <w:tab w:val="left" w:pos="567"/>
                <w:tab w:val="left" w:pos="0"/>
              </w:tabs>
              <w:spacing w:after="0" w:line="360" w:lineRule="auto"/>
              <w:jc w:val="center"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</w:rPr>
              <w:t>Especialista em Recursos Hídricos- AGEGRANDE</w:t>
            </w:r>
          </w:p>
        </w:tc>
        <w:tc>
          <w:tcPr>
            <w:tcW w:w="42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53521F" w:rsidR="00E77060" w:rsidP="0053521F" w:rsidRDefault="00483322" w14:paraId="3E0DE2EB" w14:textId="1FFCA4EC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053521F">
              <w:rPr>
                <w:rFonts w:ascii="Arial" w:hAnsi="Arial" w:eastAsia="Arial" w:cs="Arial"/>
                <w:color w:val="000000" w:themeColor="text1"/>
              </w:rPr>
              <w:t>(assinado eletronicamente)</w:t>
            </w:r>
            <w:r w:rsidRPr="0053521F">
              <w:rPr>
                <w:rFonts w:ascii="Arial" w:hAnsi="Arial" w:eastAsia="Arial" w:cs="Arial"/>
                <w:color w:val="000000" w:themeColor="text1"/>
              </w:rPr>
              <w:br/>
            </w:r>
            <w:r w:rsidR="00AF221B">
              <w:rPr>
                <w:rFonts w:ascii="Arial" w:hAnsi="Arial" w:eastAsia="Arial" w:cs="Arial"/>
                <w:color w:val="000000" w:themeColor="text1"/>
              </w:rPr>
              <w:t>Marina Mendonça Assis</w:t>
            </w:r>
          </w:p>
          <w:p w:rsidRPr="00442953" w:rsidR="00E77060" w:rsidP="0053521F" w:rsidRDefault="00483322" w14:paraId="3E0DE2EC" w14:textId="77777777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color w:val="000000" w:themeColor="text1"/>
              </w:rPr>
            </w:pPr>
            <w:r w:rsidRPr="0053521F">
              <w:rPr>
                <w:rFonts w:ascii="Arial" w:hAnsi="Arial" w:eastAsia="Arial" w:cs="Arial"/>
                <w:b/>
                <w:color w:val="000000" w:themeColor="text1"/>
              </w:rPr>
              <w:t>Assessora – Unidade Resende</w:t>
            </w:r>
          </w:p>
        </w:tc>
      </w:tr>
      <w:tr w:rsidRPr="00442953" w:rsidR="00E77060" w14:paraId="3E0DE2EF" w14:textId="77777777">
        <w:trPr>
          <w:trHeight w:val="1"/>
        </w:trPr>
        <w:tc>
          <w:tcPr>
            <w:tcW w:w="850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42953" w:rsidR="00E77060" w:rsidP="0053521F" w:rsidRDefault="00E77060" w14:paraId="3E0DE2EE" w14:textId="77777777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</w:rPr>
            </w:pPr>
          </w:p>
        </w:tc>
      </w:tr>
    </w:tbl>
    <w:p w:rsidRPr="00442953" w:rsidR="00E77060" w:rsidP="0053521F" w:rsidRDefault="00E77060" w14:paraId="3E0DE2F0" w14:textId="77777777">
      <w:pPr>
        <w:spacing w:after="0" w:line="259" w:lineRule="auto"/>
        <w:rPr>
          <w:rFonts w:ascii="Arial" w:hAnsi="Arial" w:eastAsia="Arial" w:cs="Arial"/>
          <w:b/>
          <w:color w:val="000000" w:themeColor="text1"/>
        </w:rPr>
      </w:pPr>
    </w:p>
    <w:sectPr w:rsidRPr="00442953" w:rsidR="00E77060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353" w:rsidP="0091504E" w:rsidRDefault="00CF2353" w14:paraId="5A652708" w14:textId="77777777">
      <w:pPr>
        <w:spacing w:after="0" w:line="240" w:lineRule="auto"/>
      </w:pPr>
      <w:r>
        <w:separator/>
      </w:r>
    </w:p>
  </w:endnote>
  <w:endnote w:type="continuationSeparator" w:id="0">
    <w:p w:rsidR="00CF2353" w:rsidP="0091504E" w:rsidRDefault="00CF2353" w14:paraId="45AFA7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052307"/>
      <w:docPartObj>
        <w:docPartGallery w:val="Page Numbers (Bottom of Page)"/>
        <w:docPartUnique/>
      </w:docPartObj>
    </w:sdtPr>
    <w:sdtEndPr/>
    <w:sdtContent>
      <w:p w:rsidR="00890844" w:rsidRDefault="00890844" w14:paraId="7B7C5B4C" w14:textId="4B513E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844" w:rsidRDefault="00890844" w14:paraId="6F181A4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353" w:rsidP="0091504E" w:rsidRDefault="00CF2353" w14:paraId="539C3F21" w14:textId="77777777">
      <w:pPr>
        <w:spacing w:after="0" w:line="240" w:lineRule="auto"/>
      </w:pPr>
      <w:r>
        <w:separator/>
      </w:r>
    </w:p>
  </w:footnote>
  <w:footnote w:type="continuationSeparator" w:id="0">
    <w:p w:rsidR="00CF2353" w:rsidP="0091504E" w:rsidRDefault="00CF2353" w14:paraId="199363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504E" w:rsidP="0091504E" w:rsidRDefault="00890844" w14:paraId="7075CD50" w14:textId="3EC049C8">
    <w:pPr>
      <w:pStyle w:val="NormalWeb"/>
    </w:pPr>
    <w:r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63360" behindDoc="1" locked="0" layoutInCell="1" allowOverlap="1" wp14:anchorId="71DB5026" wp14:editId="368BEC19">
          <wp:simplePos x="0" y="0"/>
          <wp:positionH relativeFrom="column">
            <wp:posOffset>75565</wp:posOffset>
          </wp:positionH>
          <wp:positionV relativeFrom="paragraph">
            <wp:posOffset>-246678</wp:posOffset>
          </wp:positionV>
          <wp:extent cx="1174750" cy="602575"/>
          <wp:effectExtent l="0" t="0" r="0" b="0"/>
          <wp:wrapNone/>
          <wp:docPr id="1587225765" name="Imagem 158722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25765" name="Imagem 1587225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0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57216" behindDoc="1" locked="0" layoutInCell="1" allowOverlap="1" wp14:anchorId="1DE5F8F9" wp14:editId="2B27F1D4">
          <wp:simplePos x="0" y="0"/>
          <wp:positionH relativeFrom="column">
            <wp:posOffset>4114800</wp:posOffset>
          </wp:positionH>
          <wp:positionV relativeFrom="paragraph">
            <wp:posOffset>-267335</wp:posOffset>
          </wp:positionV>
          <wp:extent cx="1174750" cy="652780"/>
          <wp:effectExtent l="0" t="0" r="6350" b="0"/>
          <wp:wrapNone/>
          <wp:docPr id="308579528" name="Imagem 30857952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79528" name="Imagem 308579528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04E" w:rsidRDefault="0091504E" w14:paraId="520D7CD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680"/>
    <w:multiLevelType w:val="multilevel"/>
    <w:tmpl w:val="06F40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40D53"/>
    <w:multiLevelType w:val="multilevel"/>
    <w:tmpl w:val="C812D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24336"/>
    <w:multiLevelType w:val="multilevel"/>
    <w:tmpl w:val="82F20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53DFD"/>
    <w:multiLevelType w:val="hybridMultilevel"/>
    <w:tmpl w:val="153CE08E"/>
    <w:lvl w:ilvl="0" w:tplc="E1F86EC0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BD64CA"/>
    <w:multiLevelType w:val="multilevel"/>
    <w:tmpl w:val="D44E2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B9702B"/>
    <w:multiLevelType w:val="multilevel"/>
    <w:tmpl w:val="C1E05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635E13"/>
    <w:multiLevelType w:val="hybridMultilevel"/>
    <w:tmpl w:val="CA96661E"/>
    <w:lvl w:ilvl="0" w:tplc="E5B613B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3857904">
    <w:abstractNumId w:val="2"/>
  </w:num>
  <w:num w:numId="2" w16cid:durableId="1304046594">
    <w:abstractNumId w:val="1"/>
  </w:num>
  <w:num w:numId="3" w16cid:durableId="697700491">
    <w:abstractNumId w:val="0"/>
  </w:num>
  <w:num w:numId="4" w16cid:durableId="299309021">
    <w:abstractNumId w:val="5"/>
  </w:num>
  <w:num w:numId="5" w16cid:durableId="584456510">
    <w:abstractNumId w:val="4"/>
  </w:num>
  <w:num w:numId="6" w16cid:durableId="811140435">
    <w:abstractNumId w:val="6"/>
  </w:num>
  <w:num w:numId="7" w16cid:durableId="1258754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60"/>
    <w:rsid w:val="00002D4E"/>
    <w:rsid w:val="00025B25"/>
    <w:rsid w:val="000352A1"/>
    <w:rsid w:val="00072117"/>
    <w:rsid w:val="00094677"/>
    <w:rsid w:val="001152A6"/>
    <w:rsid w:val="00151538"/>
    <w:rsid w:val="001B0643"/>
    <w:rsid w:val="001B171C"/>
    <w:rsid w:val="001C2AAD"/>
    <w:rsid w:val="001C2F2E"/>
    <w:rsid w:val="001D2110"/>
    <w:rsid w:val="001D5E58"/>
    <w:rsid w:val="001E13AD"/>
    <w:rsid w:val="00211E65"/>
    <w:rsid w:val="00267204"/>
    <w:rsid w:val="00290D65"/>
    <w:rsid w:val="002B651B"/>
    <w:rsid w:val="002E1310"/>
    <w:rsid w:val="0030445B"/>
    <w:rsid w:val="0031036A"/>
    <w:rsid w:val="003665E9"/>
    <w:rsid w:val="0037212E"/>
    <w:rsid w:val="003A3C22"/>
    <w:rsid w:val="0043637D"/>
    <w:rsid w:val="00442953"/>
    <w:rsid w:val="00482E7D"/>
    <w:rsid w:val="00483322"/>
    <w:rsid w:val="00492943"/>
    <w:rsid w:val="004F4774"/>
    <w:rsid w:val="0053521F"/>
    <w:rsid w:val="0055227C"/>
    <w:rsid w:val="00557BE0"/>
    <w:rsid w:val="00573D84"/>
    <w:rsid w:val="00580894"/>
    <w:rsid w:val="005A55C7"/>
    <w:rsid w:val="005A6396"/>
    <w:rsid w:val="005D24A9"/>
    <w:rsid w:val="0062303A"/>
    <w:rsid w:val="006233EC"/>
    <w:rsid w:val="00624193"/>
    <w:rsid w:val="006539A0"/>
    <w:rsid w:val="006B40C3"/>
    <w:rsid w:val="006D4A8D"/>
    <w:rsid w:val="006D4C77"/>
    <w:rsid w:val="00711CD5"/>
    <w:rsid w:val="0071342F"/>
    <w:rsid w:val="00724A49"/>
    <w:rsid w:val="00752E55"/>
    <w:rsid w:val="00763DFC"/>
    <w:rsid w:val="007E7B66"/>
    <w:rsid w:val="007F46AB"/>
    <w:rsid w:val="008128F0"/>
    <w:rsid w:val="00826BF6"/>
    <w:rsid w:val="00842361"/>
    <w:rsid w:val="0086533A"/>
    <w:rsid w:val="00890844"/>
    <w:rsid w:val="008A1494"/>
    <w:rsid w:val="00904B28"/>
    <w:rsid w:val="0091504E"/>
    <w:rsid w:val="00925209"/>
    <w:rsid w:val="009B1F9A"/>
    <w:rsid w:val="00A00761"/>
    <w:rsid w:val="00A4420E"/>
    <w:rsid w:val="00A761D7"/>
    <w:rsid w:val="00A904C3"/>
    <w:rsid w:val="00AB0F5B"/>
    <w:rsid w:val="00AB670A"/>
    <w:rsid w:val="00AF221B"/>
    <w:rsid w:val="00B63848"/>
    <w:rsid w:val="00B833F0"/>
    <w:rsid w:val="00BD56C9"/>
    <w:rsid w:val="00C1410C"/>
    <w:rsid w:val="00C56499"/>
    <w:rsid w:val="00C72CFB"/>
    <w:rsid w:val="00CC5977"/>
    <w:rsid w:val="00CD27EE"/>
    <w:rsid w:val="00CE02E7"/>
    <w:rsid w:val="00CF2353"/>
    <w:rsid w:val="00D22DEF"/>
    <w:rsid w:val="00D551A5"/>
    <w:rsid w:val="00DB55C2"/>
    <w:rsid w:val="00DF6891"/>
    <w:rsid w:val="00E06B7E"/>
    <w:rsid w:val="00E247A0"/>
    <w:rsid w:val="00E361FD"/>
    <w:rsid w:val="00E72D72"/>
    <w:rsid w:val="00E77060"/>
    <w:rsid w:val="00E97DE7"/>
    <w:rsid w:val="00F0367B"/>
    <w:rsid w:val="00F139B8"/>
    <w:rsid w:val="00F722C7"/>
    <w:rsid w:val="00F939DD"/>
    <w:rsid w:val="00FA6AF5"/>
    <w:rsid w:val="00FB793F"/>
    <w:rsid w:val="00FF2C1A"/>
    <w:rsid w:val="0133AA10"/>
    <w:rsid w:val="02AB0FDE"/>
    <w:rsid w:val="03858961"/>
    <w:rsid w:val="06907109"/>
    <w:rsid w:val="08BCE074"/>
    <w:rsid w:val="0D2868F1"/>
    <w:rsid w:val="0DE64969"/>
    <w:rsid w:val="10A1AD91"/>
    <w:rsid w:val="119310C1"/>
    <w:rsid w:val="124DF701"/>
    <w:rsid w:val="14068E11"/>
    <w:rsid w:val="15FA4D7A"/>
    <w:rsid w:val="1627AD8C"/>
    <w:rsid w:val="17D137EB"/>
    <w:rsid w:val="1C7365DE"/>
    <w:rsid w:val="1F44022B"/>
    <w:rsid w:val="21B4B008"/>
    <w:rsid w:val="246C53ED"/>
    <w:rsid w:val="257F8C5C"/>
    <w:rsid w:val="26BA30D9"/>
    <w:rsid w:val="26D1A679"/>
    <w:rsid w:val="2746ABEA"/>
    <w:rsid w:val="283B37A3"/>
    <w:rsid w:val="2BADC432"/>
    <w:rsid w:val="2C6F104B"/>
    <w:rsid w:val="2E458664"/>
    <w:rsid w:val="2E46EACD"/>
    <w:rsid w:val="30D3905E"/>
    <w:rsid w:val="32ECD967"/>
    <w:rsid w:val="34907209"/>
    <w:rsid w:val="38A09C2A"/>
    <w:rsid w:val="39C25EB6"/>
    <w:rsid w:val="3E2B4A59"/>
    <w:rsid w:val="3E5D6434"/>
    <w:rsid w:val="41B5D849"/>
    <w:rsid w:val="4598BD75"/>
    <w:rsid w:val="45F18C5B"/>
    <w:rsid w:val="49CD4905"/>
    <w:rsid w:val="4A8EABEA"/>
    <w:rsid w:val="4DCE4E17"/>
    <w:rsid w:val="511C0D02"/>
    <w:rsid w:val="526C70AA"/>
    <w:rsid w:val="52DFE79B"/>
    <w:rsid w:val="56ACC3B3"/>
    <w:rsid w:val="57D9EE0B"/>
    <w:rsid w:val="5B4C025D"/>
    <w:rsid w:val="5EACC475"/>
    <w:rsid w:val="5EB874DC"/>
    <w:rsid w:val="62D83F31"/>
    <w:rsid w:val="633F424A"/>
    <w:rsid w:val="63786955"/>
    <w:rsid w:val="64DC0EB4"/>
    <w:rsid w:val="6A061AE5"/>
    <w:rsid w:val="6BD49026"/>
    <w:rsid w:val="6DA9F94F"/>
    <w:rsid w:val="6FF3DA4A"/>
    <w:rsid w:val="709DC55D"/>
    <w:rsid w:val="750F37AA"/>
    <w:rsid w:val="75F5728D"/>
    <w:rsid w:val="780ED18E"/>
    <w:rsid w:val="7B513CE8"/>
    <w:rsid w:val="7C7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E2B1"/>
  <w15:docId w15:val="{659FE959-F176-4D42-B7AE-DD87D63E3F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64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1B0643"/>
    <w:pPr>
      <w:spacing w:after="0" w:line="240" w:lineRule="auto"/>
      <w:ind w:right="-801"/>
      <w:jc w:val="both"/>
    </w:pPr>
    <w:rPr>
      <w:rFonts w:ascii="Times New Roman" w:hAnsi="Times New Roman" w:eastAsia="Times New Roman" w:cs="Times New Roman"/>
      <w:kern w:val="0"/>
      <w:szCs w:val="20"/>
    </w:rPr>
  </w:style>
  <w:style w:type="character" w:styleId="CorpodetextoChar" w:customStyle="1">
    <w:name w:val="Corpo de texto Char"/>
    <w:basedOn w:val="Fontepargpadro"/>
    <w:link w:val="Corpodetexto"/>
    <w:rsid w:val="001B0643"/>
    <w:rPr>
      <w:rFonts w:ascii="Times New Roman" w:hAnsi="Times New Roman" w:eastAsia="Times New Roman" w:cs="Times New Roman"/>
      <w:kern w:val="0"/>
      <w:szCs w:val="20"/>
    </w:rPr>
  </w:style>
  <w:style w:type="paragraph" w:styleId="Texto1" w:customStyle="1">
    <w:name w:val="Texto 1."/>
    <w:basedOn w:val="Normal"/>
    <w:link w:val="Texto1Char"/>
    <w:qFormat/>
    <w:rsid w:val="003A3C22"/>
    <w:pPr>
      <w:widowControl w:val="0"/>
      <w:tabs>
        <w:tab w:val="left" w:pos="567"/>
        <w:tab w:val="left" w:pos="1134"/>
        <w:tab w:val="left" w:pos="1843"/>
      </w:tabs>
      <w:spacing w:after="240" w:line="360" w:lineRule="auto"/>
      <w:ind w:left="567"/>
      <w:jc w:val="both"/>
    </w:pPr>
    <w:rPr>
      <w:rFonts w:ascii="Arial" w:hAnsi="Arial" w:cs="Arial" w:eastAsiaTheme="minorHAnsi"/>
      <w:kern w:val="0"/>
      <w:lang w:eastAsia="en-US"/>
    </w:rPr>
  </w:style>
  <w:style w:type="character" w:styleId="Texto1Char" w:customStyle="1">
    <w:name w:val="Texto 1. Char"/>
    <w:basedOn w:val="Fontepargpadro"/>
    <w:link w:val="Texto1"/>
    <w:rsid w:val="003A3C22"/>
    <w:rPr>
      <w:rFonts w:ascii="Arial" w:hAnsi="Arial" w:cs="Arial" w:eastAsiaTheme="minorHAnsi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1504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504E"/>
  </w:style>
  <w:style w:type="paragraph" w:styleId="Rodap">
    <w:name w:val="footer"/>
    <w:basedOn w:val="Normal"/>
    <w:link w:val="RodapChar"/>
    <w:uiPriority w:val="99"/>
    <w:unhideWhenUsed/>
    <w:rsid w:val="0091504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504E"/>
  </w:style>
  <w:style w:type="paragraph" w:styleId="NormalWeb">
    <w:name w:val="Normal (Web)"/>
    <w:basedOn w:val="Normal"/>
    <w:uiPriority w:val="99"/>
    <w:semiHidden/>
    <w:unhideWhenUsed/>
    <w:rsid w:val="009150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</w:rPr>
  </w:style>
  <w:style w:type="character" w:styleId="ng-star-inserted" w:customStyle="1">
    <w:name w:val="ng-star-inserted"/>
    <w:basedOn w:val="Fontepargpadro"/>
    <w:rsid w:val="0062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17F-6F93-4E53-A357-C2F74BDF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AE06D-5836-4D57-98E7-529775E98A62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0CCB20DD-1EF7-48C9-BF2F-AB3F1FA74D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Ellen</dc:creator>
  <lastModifiedBy>Agata Noemi da Silva</lastModifiedBy>
  <revision>22</revision>
  <dcterms:created xsi:type="dcterms:W3CDTF">2025-09-26T14:06:00.0000000Z</dcterms:created>
  <dcterms:modified xsi:type="dcterms:W3CDTF">2025-10-08T21:06:03.0405530Z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