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832F" w14:textId="682DED98" w:rsidR="008C7490" w:rsidRDefault="009B2D64" w:rsidP="008C7490">
      <w:pPr>
        <w:spacing w:line="360" w:lineRule="auto"/>
        <w:jc w:val="both"/>
        <w:rPr>
          <w:rFonts w:ascii="Arial" w:hAnsi="Arial" w:cs="Arial"/>
        </w:rPr>
      </w:pPr>
      <w:r w:rsidRPr="00160ECF">
        <w:rPr>
          <w:rFonts w:ascii="Arial" w:hAnsi="Arial" w:cs="Arial"/>
        </w:rPr>
        <w:t>Ata da 29ª REUNIÃO EXTRAORDINÁRIA DO CBH-PIRANGA, realizada no dia 09/01/2025, às 14h de forma virtual. Com a presença de 20 (vinte) conselheiros</w:t>
      </w:r>
      <w:r w:rsidR="009F0CE3" w:rsidRPr="00160ECF">
        <w:rPr>
          <w:rFonts w:ascii="Arial" w:hAnsi="Arial" w:cs="Arial"/>
        </w:rPr>
        <w:t xml:space="preserve"> votantes</w:t>
      </w:r>
      <w:r w:rsidR="00A97F8D" w:rsidRPr="00160ECF">
        <w:rPr>
          <w:rFonts w:ascii="Arial" w:hAnsi="Arial" w:cs="Arial"/>
        </w:rPr>
        <w:t>,</w:t>
      </w:r>
      <w:r w:rsidRPr="00160ECF">
        <w:rPr>
          <w:rFonts w:ascii="Arial" w:hAnsi="Arial" w:cs="Arial"/>
        </w:rPr>
        <w:t xml:space="preserve"> </w:t>
      </w:r>
      <w:r w:rsidR="00A97F8D" w:rsidRPr="00160ECF">
        <w:rPr>
          <w:rFonts w:ascii="Arial" w:hAnsi="Arial" w:cs="Arial"/>
        </w:rPr>
        <w:t xml:space="preserve">foi </w:t>
      </w:r>
      <w:r w:rsidRPr="00160ECF">
        <w:rPr>
          <w:rFonts w:ascii="Arial" w:hAnsi="Arial" w:cs="Arial"/>
        </w:rPr>
        <w:t>feit</w:t>
      </w:r>
      <w:r w:rsidR="00A97F8D" w:rsidRPr="00160ECF">
        <w:rPr>
          <w:rFonts w:ascii="Arial" w:hAnsi="Arial" w:cs="Arial"/>
        </w:rPr>
        <w:t>a</w:t>
      </w:r>
      <w:r w:rsidRPr="00160ECF">
        <w:rPr>
          <w:rFonts w:ascii="Arial" w:hAnsi="Arial" w:cs="Arial"/>
        </w:rPr>
        <w:t xml:space="preserve"> a chamada nominal para confirmação de quórum. </w:t>
      </w:r>
      <w:r w:rsidR="000F4A56" w:rsidRPr="00160ECF">
        <w:rPr>
          <w:rFonts w:ascii="Arial" w:hAnsi="Arial" w:cs="Arial"/>
        </w:rPr>
        <w:t xml:space="preserve">Com as boas-vindas do presidente, Carlos Eduardo Silva, a presente reunião foi iniciada. </w:t>
      </w:r>
      <w:r w:rsidR="00A97F8D" w:rsidRPr="00160ECF">
        <w:rPr>
          <w:rFonts w:ascii="Arial" w:hAnsi="Arial" w:cs="Arial"/>
        </w:rPr>
        <w:t>Iniciou-se a discussão d</w:t>
      </w:r>
      <w:r w:rsidR="000F4A56" w:rsidRPr="00160ECF">
        <w:rPr>
          <w:rFonts w:ascii="Arial" w:hAnsi="Arial" w:cs="Arial"/>
        </w:rPr>
        <w:t>o primeiro item da pauta, a saber, a Deliberação da ata da Reunião Ordinária do CBH-Piranga – 12/12/2024</w:t>
      </w:r>
      <w:r w:rsidR="00A97F8D" w:rsidRPr="00160ECF">
        <w:rPr>
          <w:rFonts w:ascii="Arial" w:hAnsi="Arial" w:cs="Arial"/>
        </w:rPr>
        <w:t>. O</w:t>
      </w:r>
      <w:r w:rsidR="000F4A56" w:rsidRPr="00160ECF">
        <w:rPr>
          <w:rFonts w:ascii="Arial" w:hAnsi="Arial" w:cs="Arial"/>
        </w:rPr>
        <w:t xml:space="preserve">s conselheiros Januária </w:t>
      </w:r>
      <w:r w:rsidR="00E5676B" w:rsidRPr="00160ECF">
        <w:rPr>
          <w:rFonts w:ascii="Arial" w:hAnsi="Arial" w:cs="Arial"/>
        </w:rPr>
        <w:t>Fonseca,</w:t>
      </w:r>
      <w:r w:rsidR="000F4A56" w:rsidRPr="00160ECF">
        <w:rPr>
          <w:rFonts w:ascii="Arial" w:hAnsi="Arial" w:cs="Arial"/>
        </w:rPr>
        <w:t xml:space="preserve"> Fernando Martins, Ulisses Bifano, Fabricio de Sales, Fabrício Miranda, Silvana Tafuri se abstiveram, sendo </w:t>
      </w:r>
      <w:r w:rsidR="00A97F8D" w:rsidRPr="00160ECF">
        <w:rPr>
          <w:rFonts w:ascii="Arial" w:hAnsi="Arial" w:cs="Arial"/>
        </w:rPr>
        <w:t xml:space="preserve">logo após </w:t>
      </w:r>
      <w:r w:rsidR="000F4A56" w:rsidRPr="00160ECF">
        <w:rPr>
          <w:rFonts w:ascii="Arial" w:hAnsi="Arial" w:cs="Arial"/>
        </w:rPr>
        <w:t xml:space="preserve">aprovada a ata. Passou-se ao próximo item: Análise do Processo de Outorga nº 32659_2023 - Catas Altas da Noruega. </w:t>
      </w:r>
      <w:r w:rsidR="003F2AB1" w:rsidRPr="00160ECF">
        <w:rPr>
          <w:rFonts w:ascii="Arial" w:hAnsi="Arial" w:cs="Arial"/>
        </w:rPr>
        <w:t>A</w:t>
      </w:r>
      <w:r w:rsidR="000F4A56" w:rsidRPr="00160ECF">
        <w:rPr>
          <w:rFonts w:ascii="Arial" w:hAnsi="Arial" w:cs="Arial"/>
        </w:rPr>
        <w:t xml:space="preserve"> palavra foi passada ao represente da URGA para dar o parecer da instituição. Silas Coelho (URGA) fez a apresentação do parecer </w:t>
      </w:r>
      <w:r w:rsidR="003F2AB1" w:rsidRPr="00160ECF">
        <w:rPr>
          <w:rFonts w:ascii="Arial" w:hAnsi="Arial" w:cs="Arial"/>
        </w:rPr>
        <w:t>que foi favorável ao empreendedor</w:t>
      </w:r>
      <w:r w:rsidR="008F7210" w:rsidRPr="00160ECF">
        <w:rPr>
          <w:rFonts w:ascii="Arial" w:hAnsi="Arial" w:cs="Arial"/>
        </w:rPr>
        <w:t xml:space="preserve"> sem condicionantes. A seguir, Adriano Ferreira (AGEDOCE) fez o parecer da agência, Adriano Ferreira ressaltou que devido a não ser uso consultivo, não afetará os usos múltiplos, sendo considerado análise do processo e da documentação foi recomendado deferimento, sem condicionantes. Por último, o representante do empreendimento Antônio Oliveira, </w:t>
      </w:r>
      <w:r w:rsidR="007A1878" w:rsidRPr="00160ECF">
        <w:rPr>
          <w:rFonts w:ascii="Arial" w:hAnsi="Arial" w:cs="Arial"/>
        </w:rPr>
        <w:t>fez a apresentação do empreendimento. Erick Ribeiro (AGEDOCE) trouxe o parecer das Câmara Técnicas (CTOC e CTIL) que traz a recomendação de deferimento à plenária. Foi dada a palavra para esclarecimento de dúvidas</w:t>
      </w:r>
      <w:r w:rsidR="008561A0" w:rsidRPr="00160ECF">
        <w:rPr>
          <w:rFonts w:ascii="Arial" w:hAnsi="Arial" w:cs="Arial"/>
        </w:rPr>
        <w:t>, respondidas as questões levantadas, passou-se a votação da presente outorga, sem demais observações, foi aprovada</w:t>
      </w:r>
      <w:r w:rsidR="00920DBF" w:rsidRPr="00160ECF">
        <w:rPr>
          <w:rFonts w:ascii="Arial" w:hAnsi="Arial" w:cs="Arial"/>
        </w:rPr>
        <w:t>, havendo duas abstenções: Paulo Henrique e Senisi Rocha. Logo após, passou ao próximo item da pauta: Análise do Processo de Outorga nº 41_2024 - Actech Alumina. Alexandre Guimarães, representante do empreendimento, trouxe as informações pertinentes para o referido processo de outorga juntamente com Rafael Gontijo.</w:t>
      </w:r>
      <w:r w:rsidR="00A04FB5" w:rsidRPr="00160ECF">
        <w:rPr>
          <w:rFonts w:ascii="Arial" w:hAnsi="Arial" w:cs="Arial"/>
        </w:rPr>
        <w:t xml:space="preserve"> Após a o empreendedor, a palavra foi passada a URGA para dar seu parecer</w:t>
      </w:r>
      <w:r w:rsidR="00516652" w:rsidRPr="00160ECF">
        <w:rPr>
          <w:rFonts w:ascii="Arial" w:hAnsi="Arial" w:cs="Arial"/>
        </w:rPr>
        <w:t>, que foi pelo deferimento. Adriano Ferreira (AGEDOCE) fez a apresentação técnica do parecer da agência que foi pelo deferimento sem condicionantes. O parecer das Câmaras Técnicas</w:t>
      </w:r>
      <w:r w:rsidR="00920DBF" w:rsidRPr="00160ECF">
        <w:rPr>
          <w:rFonts w:ascii="Arial" w:hAnsi="Arial" w:cs="Arial"/>
        </w:rPr>
        <w:t xml:space="preserve"> </w:t>
      </w:r>
      <w:r w:rsidR="00516652" w:rsidRPr="00160ECF">
        <w:rPr>
          <w:rFonts w:ascii="Arial" w:hAnsi="Arial" w:cs="Arial"/>
        </w:rPr>
        <w:t>(CTOC e CTIL) trouxe a recomendação de deferimento à plenária</w:t>
      </w:r>
      <w:r w:rsidR="00E51982" w:rsidRPr="00160ECF">
        <w:rPr>
          <w:rFonts w:ascii="Arial" w:hAnsi="Arial" w:cs="Arial"/>
        </w:rPr>
        <w:t>. Logo após, foi aberta a palavra para dúvidas e questionamentos.</w:t>
      </w:r>
      <w:r w:rsidR="008C7490" w:rsidRPr="00160ECF">
        <w:rPr>
          <w:rFonts w:ascii="Arial" w:hAnsi="Arial" w:cs="Arial"/>
        </w:rPr>
        <w:t xml:space="preserve"> Sendo respondida todas as questões levantadas, foi colocado em votação e aprovado por aclamação o presente processo de outorga. A seguir, passou-se ao próximo </w:t>
      </w:r>
      <w:r w:rsidR="008C7490" w:rsidRPr="00160ECF">
        <w:rPr>
          <w:rFonts w:ascii="Arial" w:hAnsi="Arial" w:cs="Arial"/>
        </w:rPr>
        <w:lastRenderedPageBreak/>
        <w:t xml:space="preserve">item de pauta: Análise do Processo de Outorga nº 47129_2024 - Rainha da Areia. Henrique Tobias, representante do empreendimento, fez a apresentação do processo de outorga. André Oliveira (URGA) trouxe o parecer da instituição </w:t>
      </w:r>
      <w:r w:rsidR="00E5676B" w:rsidRPr="00160ECF">
        <w:rPr>
          <w:rFonts w:ascii="Arial" w:hAnsi="Arial" w:cs="Arial"/>
        </w:rPr>
        <w:t xml:space="preserve">que foi pelo deferimento. Adriano Ferreira (AGEDOCE) trouxe o parecer da agência que foi pela aprovação, mas com condicionantes devido ao impacto do empreendimento. </w:t>
      </w:r>
      <w:r w:rsidR="004B5CF5" w:rsidRPr="00160ECF">
        <w:rPr>
          <w:rFonts w:ascii="Arial" w:hAnsi="Arial" w:cs="Arial"/>
        </w:rPr>
        <w:t xml:space="preserve">Erick Ribeiro (AGEDOCE) trouxe o parecer das Câmaras </w:t>
      </w:r>
      <w:proofErr w:type="gramStart"/>
      <w:r w:rsidR="004B5CF5" w:rsidRPr="00160ECF">
        <w:rPr>
          <w:rFonts w:ascii="Arial" w:hAnsi="Arial" w:cs="Arial"/>
        </w:rPr>
        <w:t>Técnicas  (</w:t>
      </w:r>
      <w:proofErr w:type="gramEnd"/>
      <w:r w:rsidR="004B5CF5" w:rsidRPr="00160ECF">
        <w:rPr>
          <w:rFonts w:ascii="Arial" w:hAnsi="Arial" w:cs="Arial"/>
        </w:rPr>
        <w:t>CTOC e CTIL) que trouxe questionamentos a serem respondidos pela parte proponente (o empreendedor), para que após tais levantamentos, e com as devidas respostas fosse feita a recomendação de deferimento à plenária. Foi aberto o momento de questionamentos e dúvidas</w:t>
      </w:r>
      <w:r w:rsidR="000E3F61" w:rsidRPr="00160ECF">
        <w:rPr>
          <w:rFonts w:ascii="Arial" w:hAnsi="Arial" w:cs="Arial"/>
        </w:rPr>
        <w:t>. O empreendedor respondeu a uma dúvida levantada de uma condicionante quanto a obrigatoriedade por parte deles de monitorar os metais pesados no rio, o que segundo o empreendedor não é cabível uma vez o referido rio foi atingido pelo desastre ambiental da Samarco</w:t>
      </w:r>
      <w:r w:rsidR="00A23B1E" w:rsidRPr="00160ECF">
        <w:rPr>
          <w:rFonts w:ascii="Arial" w:hAnsi="Arial" w:cs="Arial"/>
        </w:rPr>
        <w:t xml:space="preserve">, no que foi rebatido pelo representante da agência Adriano Ferreira (AGEDOCE). </w:t>
      </w:r>
      <w:r w:rsidR="000E3F61" w:rsidRPr="00160ECF">
        <w:rPr>
          <w:rFonts w:ascii="Arial" w:hAnsi="Arial" w:cs="Arial"/>
        </w:rPr>
        <w:t>Além disso, Senisi Rocha questionou pelo fato do parecer das Câmaras não se conclusivo, como se deveria proceder</w:t>
      </w:r>
      <w:r w:rsidR="001163F5" w:rsidRPr="00160ECF">
        <w:rPr>
          <w:rFonts w:ascii="Arial" w:hAnsi="Arial" w:cs="Arial"/>
        </w:rPr>
        <w:t>. Também levantou a questão de caso não sejam cumpridas as condicionantes, como se deveria proceder</w:t>
      </w:r>
      <w:r w:rsidR="00C3649E" w:rsidRPr="00160ECF">
        <w:rPr>
          <w:rFonts w:ascii="Arial" w:hAnsi="Arial" w:cs="Arial"/>
        </w:rPr>
        <w:t xml:space="preserve"> entre outras dúvidas pontuais</w:t>
      </w:r>
      <w:r w:rsidR="001163F5" w:rsidRPr="00160ECF">
        <w:rPr>
          <w:rFonts w:ascii="Arial" w:hAnsi="Arial" w:cs="Arial"/>
        </w:rPr>
        <w:t xml:space="preserve">. </w:t>
      </w:r>
      <w:proofErr w:type="gramStart"/>
      <w:r w:rsidR="001163F5" w:rsidRPr="00160ECF">
        <w:rPr>
          <w:rFonts w:ascii="Arial" w:hAnsi="Arial" w:cs="Arial"/>
        </w:rPr>
        <w:t>O mesmo</w:t>
      </w:r>
      <w:proofErr w:type="gramEnd"/>
      <w:r w:rsidR="001163F5" w:rsidRPr="00160ECF">
        <w:rPr>
          <w:rFonts w:ascii="Arial" w:hAnsi="Arial" w:cs="Arial"/>
        </w:rPr>
        <w:t xml:space="preserve"> foi respondido pelo representante do empreendimento e pela URGA. </w:t>
      </w:r>
      <w:r w:rsidR="00DE7A68" w:rsidRPr="00160ECF">
        <w:rPr>
          <w:rFonts w:ascii="Arial" w:hAnsi="Arial" w:cs="Arial"/>
        </w:rPr>
        <w:t xml:space="preserve">Maria do Carmo fez a observação que a simples extração de metais e areia não cria a necessidade de monitoramento de metais pesados uma vez que não é feito o uso de mercúrio, não causando impacto à bacia do rio, mas que fica a critério da plenária. Logo após foi aberta a votação nominal do processo de outorga com a inserção das condicionantes ou não. </w:t>
      </w:r>
      <w:r w:rsidR="00C34A85" w:rsidRPr="00160ECF">
        <w:rPr>
          <w:rFonts w:ascii="Arial" w:hAnsi="Arial" w:cs="Arial"/>
        </w:rPr>
        <w:t xml:space="preserve">Eduardo Araujo (IGAM) fez considerações e esclarecimentos sobre o empreendimento e as condicionantes. </w:t>
      </w:r>
      <w:r w:rsidR="009816DA" w:rsidRPr="00160ECF">
        <w:rPr>
          <w:rFonts w:ascii="Arial" w:hAnsi="Arial" w:cs="Arial"/>
        </w:rPr>
        <w:t xml:space="preserve">Maria Aparecida Vargas ressaltou que a região onde será o empreendimento há, independente da atividade ainda a ser outorgada, a presença de metais pesados na água, e que </w:t>
      </w:r>
      <w:proofErr w:type="gramStart"/>
      <w:r w:rsidR="009816DA" w:rsidRPr="00160ECF">
        <w:rPr>
          <w:rFonts w:ascii="Arial" w:hAnsi="Arial" w:cs="Arial"/>
        </w:rPr>
        <w:t>deve-se</w:t>
      </w:r>
      <w:proofErr w:type="gramEnd"/>
      <w:r w:rsidR="009816DA" w:rsidRPr="00160ECF">
        <w:rPr>
          <w:rFonts w:ascii="Arial" w:hAnsi="Arial" w:cs="Arial"/>
        </w:rPr>
        <w:t xml:space="preserve"> ter cautela para não penalizar o empreendedor. Ulisses Bifano ressaltou que seria importante ter o monitoramento a jusante e a montante para se constatar se a atividade desenvolvida pelo empreendedor não está impactando a bacia. A seguir, passou-se a votação das condicionantes do IGAM e da AGEDOCE</w:t>
      </w:r>
      <w:r w:rsidR="00817FEB" w:rsidRPr="00160ECF">
        <w:rPr>
          <w:rFonts w:ascii="Arial" w:hAnsi="Arial" w:cs="Arial"/>
        </w:rPr>
        <w:t>. Computados</w:t>
      </w:r>
      <w:r w:rsidR="00A97F8D" w:rsidRPr="00160ECF">
        <w:rPr>
          <w:rFonts w:ascii="Arial" w:hAnsi="Arial" w:cs="Arial"/>
        </w:rPr>
        <w:t xml:space="preserve"> os votos</w:t>
      </w:r>
      <w:r w:rsidR="00817FEB" w:rsidRPr="00160ECF">
        <w:rPr>
          <w:rFonts w:ascii="Arial" w:hAnsi="Arial" w:cs="Arial"/>
        </w:rPr>
        <w:t xml:space="preserve">, foram 11 (onze) votos favoráveis para </w:t>
      </w:r>
      <w:r w:rsidR="00817FEB" w:rsidRPr="00160ECF">
        <w:rPr>
          <w:rFonts w:ascii="Arial" w:hAnsi="Arial" w:cs="Arial"/>
        </w:rPr>
        <w:lastRenderedPageBreak/>
        <w:t>manutenção das condicionantes, 6 (seis) contra e 1 (uma) abstenção. A seguir, foi aberta a segunda parte da votação, a saber, o deferimento da outorga, sendo aprovado por aclamação. Contudo, havendo 3 (</w:t>
      </w:r>
      <w:r w:rsidR="00A97F8D" w:rsidRPr="00160ECF">
        <w:rPr>
          <w:rFonts w:ascii="Arial" w:hAnsi="Arial" w:cs="Arial"/>
        </w:rPr>
        <w:t>três</w:t>
      </w:r>
      <w:r w:rsidR="00817FEB" w:rsidRPr="00160ECF">
        <w:rPr>
          <w:rFonts w:ascii="Arial" w:hAnsi="Arial" w:cs="Arial"/>
        </w:rPr>
        <w:t>) abstenções. Por último, passou ao ite</w:t>
      </w:r>
      <w:r w:rsidR="00A97F8D" w:rsidRPr="00160ECF">
        <w:rPr>
          <w:rFonts w:ascii="Arial" w:hAnsi="Arial" w:cs="Arial"/>
        </w:rPr>
        <w:t>m</w:t>
      </w:r>
      <w:r w:rsidR="00817FEB" w:rsidRPr="00160ECF">
        <w:rPr>
          <w:rFonts w:ascii="Arial" w:hAnsi="Arial" w:cs="Arial"/>
        </w:rPr>
        <w:t xml:space="preserve">: Análise do Processo de Outorga nº 55416_2020 - FL Imobiliária. O empreendedor foi representando pela sra. Mariana </w:t>
      </w:r>
      <w:proofErr w:type="spellStart"/>
      <w:r w:rsidR="00817FEB" w:rsidRPr="00160ECF">
        <w:rPr>
          <w:rFonts w:ascii="Arial" w:hAnsi="Arial" w:cs="Arial"/>
        </w:rPr>
        <w:t>Meiriele</w:t>
      </w:r>
      <w:proofErr w:type="spellEnd"/>
      <w:r w:rsidR="00817FEB" w:rsidRPr="00160ECF">
        <w:rPr>
          <w:rFonts w:ascii="Arial" w:hAnsi="Arial" w:cs="Arial"/>
        </w:rPr>
        <w:t xml:space="preserve">, que faz a apresentação do processo pleiteado. Logo após, André Oliveira (URGA) fez o parecer que foi favorável ao deferimento. </w:t>
      </w:r>
      <w:r w:rsidR="00310FB4" w:rsidRPr="00160ECF">
        <w:rPr>
          <w:rFonts w:ascii="Arial" w:hAnsi="Arial" w:cs="Arial"/>
        </w:rPr>
        <w:t>Ronan Soares (AGEDOCE) fez o parecer técnico da agência e sugeriu o deferimento</w:t>
      </w:r>
      <w:r w:rsidR="00DE6431" w:rsidRPr="00160ECF">
        <w:rPr>
          <w:rFonts w:ascii="Arial" w:hAnsi="Arial" w:cs="Arial"/>
        </w:rPr>
        <w:t xml:space="preserve"> com condicionante. Erick Ribeiro (AGEDOCE) trouxe o parecer das Câmaras Técnicas (CTOC e CTIL), que recomendou informações ao empreendedor. Foi aberta a palavra para dúvidas e questionamentos. Após levantamentos, todas as informações foram repassadas pela representante do empreendimento</w:t>
      </w:r>
      <w:r w:rsidR="00933984" w:rsidRPr="00160ECF">
        <w:rPr>
          <w:rFonts w:ascii="Arial" w:hAnsi="Arial" w:cs="Arial"/>
        </w:rPr>
        <w:t xml:space="preserve"> aos conselheiros e dirimida as dúvidas. Sem abstenções, foi aprovada o pedido de outorga</w:t>
      </w:r>
      <w:r w:rsidR="00A97F8D" w:rsidRPr="00160ECF">
        <w:rPr>
          <w:rFonts w:ascii="Arial" w:hAnsi="Arial" w:cs="Arial"/>
        </w:rPr>
        <w:t xml:space="preserve"> com condicionantes</w:t>
      </w:r>
      <w:r w:rsidR="00933984" w:rsidRPr="00160ECF">
        <w:rPr>
          <w:rFonts w:ascii="Arial" w:hAnsi="Arial" w:cs="Arial"/>
        </w:rPr>
        <w:t xml:space="preserve">. </w:t>
      </w:r>
      <w:r w:rsidR="00A97F8D" w:rsidRPr="00160ECF">
        <w:rPr>
          <w:rFonts w:ascii="Arial" w:hAnsi="Arial" w:cs="Arial"/>
        </w:rPr>
        <w:t xml:space="preserve">Antes do encerramento da presente reunião, </w:t>
      </w:r>
      <w:r w:rsidR="00933984" w:rsidRPr="00160ECF">
        <w:rPr>
          <w:rFonts w:ascii="Arial" w:hAnsi="Arial" w:cs="Arial"/>
        </w:rPr>
        <w:t>Eduardo Araújo ressaltou a importância da discussão do enquadramento (regulamentação) do rio Piranga</w:t>
      </w:r>
      <w:r w:rsidR="00A97F8D" w:rsidRPr="00160ECF">
        <w:rPr>
          <w:rFonts w:ascii="Arial" w:hAnsi="Arial" w:cs="Arial"/>
        </w:rPr>
        <w:t>, no que foi respaldado pelo presidente.</w:t>
      </w:r>
      <w:r w:rsidR="00933984" w:rsidRPr="00160ECF">
        <w:rPr>
          <w:rFonts w:ascii="Arial" w:hAnsi="Arial" w:cs="Arial"/>
        </w:rPr>
        <w:t xml:space="preserve">  Sem mais a tratar</w:t>
      </w:r>
      <w:r w:rsidR="00A97F8D" w:rsidRPr="00160ECF">
        <w:rPr>
          <w:rFonts w:ascii="Arial" w:hAnsi="Arial" w:cs="Arial"/>
        </w:rPr>
        <w:t>,</w:t>
      </w:r>
      <w:r w:rsidR="00933984" w:rsidRPr="00160ECF">
        <w:rPr>
          <w:rFonts w:ascii="Arial" w:hAnsi="Arial" w:cs="Arial"/>
        </w:rPr>
        <w:t xml:space="preserve"> a presente reunião foi encerrada com o agradecimento do presidente</w:t>
      </w:r>
      <w:r w:rsidR="008E2AF6" w:rsidRPr="00160ECF">
        <w:rPr>
          <w:rFonts w:ascii="Arial" w:hAnsi="Arial" w:cs="Arial"/>
        </w:rPr>
        <w:t xml:space="preserve"> Carlos Eduardo Silva</w:t>
      </w:r>
      <w:r w:rsidR="00933984" w:rsidRPr="00160ECF">
        <w:rPr>
          <w:rFonts w:ascii="Arial" w:hAnsi="Arial" w:cs="Arial"/>
        </w:rPr>
        <w:t>.</w:t>
      </w:r>
    </w:p>
    <w:p w14:paraId="5FBDE9FD" w14:textId="77777777" w:rsidR="008B3A06" w:rsidRPr="00160ECF" w:rsidRDefault="008B3A06" w:rsidP="008C7490">
      <w:pPr>
        <w:spacing w:line="360" w:lineRule="auto"/>
        <w:jc w:val="both"/>
        <w:rPr>
          <w:rFonts w:ascii="Arial" w:hAnsi="Arial" w:cs="Arial"/>
        </w:rPr>
      </w:pPr>
    </w:p>
    <w:p w14:paraId="3FB1510D" w14:textId="43818D8D" w:rsidR="00160ECF" w:rsidRPr="00160ECF" w:rsidRDefault="00160ECF" w:rsidP="00160ECF">
      <w:pPr>
        <w:spacing w:after="120" w:line="240" w:lineRule="auto"/>
        <w:jc w:val="center"/>
        <w:rPr>
          <w:rFonts w:ascii="Arial" w:hAnsi="Arial" w:cs="Arial"/>
        </w:rPr>
      </w:pPr>
      <w:r w:rsidRPr="00160ECF">
        <w:rPr>
          <w:rFonts w:ascii="Arial" w:hAnsi="Arial" w:cs="Arial"/>
        </w:rPr>
        <w:t>(assinado eletronicamente)</w:t>
      </w:r>
    </w:p>
    <w:p w14:paraId="7BE15A34" w14:textId="5C203A48" w:rsidR="00160ECF" w:rsidRPr="00160ECF" w:rsidRDefault="00160ECF" w:rsidP="00160ECF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160ECF">
        <w:rPr>
          <w:rFonts w:ascii="Arial" w:hAnsi="Arial" w:cs="Arial"/>
          <w:b/>
          <w:bCs/>
        </w:rPr>
        <w:t>CARLOS EDUARDO SILVA</w:t>
      </w:r>
    </w:p>
    <w:p w14:paraId="770BD02B" w14:textId="39DD483C" w:rsidR="00160ECF" w:rsidRPr="00160ECF" w:rsidRDefault="00160ECF" w:rsidP="00160ECF">
      <w:pPr>
        <w:spacing w:after="120" w:line="240" w:lineRule="auto"/>
        <w:jc w:val="center"/>
        <w:rPr>
          <w:rFonts w:ascii="Arial" w:hAnsi="Arial" w:cs="Arial"/>
        </w:rPr>
      </w:pPr>
      <w:r w:rsidRPr="00160ECF">
        <w:rPr>
          <w:rFonts w:ascii="Arial" w:hAnsi="Arial" w:cs="Arial"/>
        </w:rPr>
        <w:t>Presidente do CBH-Piranga</w:t>
      </w:r>
    </w:p>
    <w:p w14:paraId="7FFE06E0" w14:textId="176C6C1B" w:rsidR="000F4A56" w:rsidRPr="00160ECF" w:rsidRDefault="000F4A56" w:rsidP="000F4A56">
      <w:pPr>
        <w:spacing w:line="360" w:lineRule="auto"/>
        <w:jc w:val="both"/>
        <w:rPr>
          <w:rFonts w:ascii="Arial" w:hAnsi="Arial" w:cs="Arial"/>
        </w:rPr>
      </w:pPr>
    </w:p>
    <w:p w14:paraId="63C18751" w14:textId="4F5AB623" w:rsidR="0070796C" w:rsidRPr="00160ECF" w:rsidRDefault="0070796C" w:rsidP="009B2D64">
      <w:pPr>
        <w:spacing w:line="360" w:lineRule="auto"/>
        <w:jc w:val="both"/>
        <w:rPr>
          <w:rFonts w:ascii="Arial" w:hAnsi="Arial" w:cs="Arial"/>
        </w:rPr>
      </w:pPr>
    </w:p>
    <w:sectPr w:rsidR="0070796C" w:rsidRPr="00160E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B942" w14:textId="77777777" w:rsidR="00FE3842" w:rsidRDefault="00FE3842" w:rsidP="00160ECF">
      <w:pPr>
        <w:spacing w:after="0" w:line="240" w:lineRule="auto"/>
      </w:pPr>
      <w:r>
        <w:separator/>
      </w:r>
    </w:p>
  </w:endnote>
  <w:endnote w:type="continuationSeparator" w:id="0">
    <w:p w14:paraId="17BEEB75" w14:textId="77777777" w:rsidR="00FE3842" w:rsidRDefault="00FE3842" w:rsidP="00160ECF">
      <w:pPr>
        <w:spacing w:after="0" w:line="240" w:lineRule="auto"/>
      </w:pPr>
      <w:r>
        <w:continuationSeparator/>
      </w:r>
    </w:p>
  </w:endnote>
  <w:endnote w:type="continuationNotice" w:id="1">
    <w:p w14:paraId="11A8F854" w14:textId="77777777" w:rsidR="004E260E" w:rsidRDefault="004E26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D005" w14:textId="77777777" w:rsidR="00160ECF" w:rsidRDefault="00160E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C8A3" w14:textId="77777777" w:rsidR="00160ECF" w:rsidRDefault="00160E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9867" w14:textId="77777777" w:rsidR="00160ECF" w:rsidRDefault="00160E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0D12" w14:textId="77777777" w:rsidR="00FE3842" w:rsidRDefault="00FE3842" w:rsidP="00160ECF">
      <w:pPr>
        <w:spacing w:after="0" w:line="240" w:lineRule="auto"/>
      </w:pPr>
      <w:r>
        <w:separator/>
      </w:r>
    </w:p>
  </w:footnote>
  <w:footnote w:type="continuationSeparator" w:id="0">
    <w:p w14:paraId="10C4DAD8" w14:textId="77777777" w:rsidR="00FE3842" w:rsidRDefault="00FE3842" w:rsidP="00160ECF">
      <w:pPr>
        <w:spacing w:after="0" w:line="240" w:lineRule="auto"/>
      </w:pPr>
      <w:r>
        <w:continuationSeparator/>
      </w:r>
    </w:p>
  </w:footnote>
  <w:footnote w:type="continuationNotice" w:id="1">
    <w:p w14:paraId="4CBFF2DD" w14:textId="77777777" w:rsidR="004E260E" w:rsidRDefault="004E26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7E7" w14:textId="70D81D21" w:rsidR="00160ECF" w:rsidRDefault="00295A86">
    <w:pPr>
      <w:pStyle w:val="Cabealho"/>
    </w:pPr>
    <w:r>
      <w:rPr>
        <w:noProof/>
      </w:rPr>
      <w:pict w14:anchorId="38D224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885485" o:spid="_x0000_s1026" type="#_x0000_t136" style="position:absolute;margin-left:0;margin-top:0;width:419.6pt;height:179.8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E610" w14:textId="4C602CA1" w:rsidR="00160ECF" w:rsidRDefault="00295A86" w:rsidP="00160ECF">
    <w:pPr>
      <w:pStyle w:val="Cabealho"/>
      <w:tabs>
        <w:tab w:val="left" w:pos="6002"/>
      </w:tabs>
    </w:pPr>
    <w:r>
      <w:rPr>
        <w:noProof/>
      </w:rPr>
      <w:pict w14:anchorId="53D924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885486" o:spid="_x0000_s1027" type="#_x0000_t136" style="position:absolute;margin-left:0;margin-top:0;width:419.6pt;height:179.8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160ECF">
      <w:tab/>
    </w:r>
    <w:r w:rsidR="00160ECF" w:rsidRPr="00454633">
      <w:rPr>
        <w:noProof/>
      </w:rPr>
      <w:drawing>
        <wp:inline distT="0" distB="0" distL="0" distR="0" wp14:anchorId="4012CC0A" wp14:editId="2C2A6EE1">
          <wp:extent cx="1372624" cy="772160"/>
          <wp:effectExtent l="0" t="0" r="0" b="8890"/>
          <wp:docPr id="149889472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758040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57" cy="77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60ECF">
      <w:tab/>
    </w:r>
  </w:p>
  <w:p w14:paraId="7505D996" w14:textId="77777777" w:rsidR="00160ECF" w:rsidRPr="00160ECF" w:rsidRDefault="00160ECF" w:rsidP="00160ECF">
    <w:pPr>
      <w:pStyle w:val="Cabealho"/>
      <w:tabs>
        <w:tab w:val="left" w:pos="6002"/>
      </w:tabs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4FD0" w14:textId="2A8CD1BD" w:rsidR="00160ECF" w:rsidRDefault="00295A86">
    <w:pPr>
      <w:pStyle w:val="Cabealho"/>
    </w:pPr>
    <w:r>
      <w:rPr>
        <w:noProof/>
      </w:rPr>
      <w:pict w14:anchorId="4B62DB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9885484" o:spid="_x0000_s1025" type="#_x0000_t136" style="position:absolute;margin-left:0;margin-top:0;width:419.6pt;height:179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64"/>
    <w:rsid w:val="00047FD7"/>
    <w:rsid w:val="000E3F61"/>
    <w:rsid w:val="000F4A56"/>
    <w:rsid w:val="001026D7"/>
    <w:rsid w:val="001163F5"/>
    <w:rsid w:val="00160ECF"/>
    <w:rsid w:val="00173EF9"/>
    <w:rsid w:val="002777F9"/>
    <w:rsid w:val="00281F1C"/>
    <w:rsid w:val="00295A86"/>
    <w:rsid w:val="00310FB4"/>
    <w:rsid w:val="003F2AB1"/>
    <w:rsid w:val="004B5CF5"/>
    <w:rsid w:val="004E260E"/>
    <w:rsid w:val="00516652"/>
    <w:rsid w:val="0070796C"/>
    <w:rsid w:val="007A1878"/>
    <w:rsid w:val="00817FEB"/>
    <w:rsid w:val="00836A24"/>
    <w:rsid w:val="008561A0"/>
    <w:rsid w:val="008B3A06"/>
    <w:rsid w:val="008C7490"/>
    <w:rsid w:val="008E2AF6"/>
    <w:rsid w:val="008F7210"/>
    <w:rsid w:val="00920DBF"/>
    <w:rsid w:val="0092693E"/>
    <w:rsid w:val="00933984"/>
    <w:rsid w:val="009816DA"/>
    <w:rsid w:val="009B2D64"/>
    <w:rsid w:val="009B33BE"/>
    <w:rsid w:val="009F0CE3"/>
    <w:rsid w:val="00A04FB5"/>
    <w:rsid w:val="00A23B1E"/>
    <w:rsid w:val="00A97F8D"/>
    <w:rsid w:val="00C34A85"/>
    <w:rsid w:val="00C3649E"/>
    <w:rsid w:val="00DE6431"/>
    <w:rsid w:val="00DE7A68"/>
    <w:rsid w:val="00E51982"/>
    <w:rsid w:val="00E5676B"/>
    <w:rsid w:val="00EF5FD1"/>
    <w:rsid w:val="00F92189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F7616"/>
  <w15:chartTrackingRefBased/>
  <w15:docId w15:val="{275B52AA-EB2F-48B5-AB6C-F8AD5AC0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2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2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2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2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2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2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2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2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2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2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2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2D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2D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2D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2D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2D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2D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2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2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2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2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2D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2D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2D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2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2D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2D6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0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ECF"/>
  </w:style>
  <w:style w:type="paragraph" w:styleId="Rodap">
    <w:name w:val="footer"/>
    <w:basedOn w:val="Normal"/>
    <w:link w:val="RodapChar"/>
    <w:uiPriority w:val="99"/>
    <w:unhideWhenUsed/>
    <w:rsid w:val="00160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3" ma:contentTypeDescription="Crie um novo documento." ma:contentTypeScope="" ma:versionID="b450eb6a145e113c762695bbce12477a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13d36181ea366cf2c6cf1edfb9231340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f_hora xmlns="f713f894-8e5f-49bb-aba3-bc5acb6c15a1" xsi:nil="true"/>
    <GPS20_x002d_04 xmlns="f713f894-8e5f-49bb-aba3-bc5acb6c15a1" xsi:nil="true"/>
    <_x0020__x0020__x0020__x0020_ xmlns="f713f894-8e5f-49bb-aba3-bc5acb6c15a1" xsi:nil="true"/>
    <lcf76f155ced4ddcb4097134ff3c332f xmlns="f713f894-8e5f-49bb-aba3-bc5acb6c15a1">
      <Terms xmlns="http://schemas.microsoft.com/office/infopath/2007/PartnerControls"/>
    </lcf76f155ced4ddcb4097134ff3c332f>
    <Edilson xmlns="f713f894-8e5f-49bb-aba3-bc5acb6c15a1">
      <UserInfo>
        <DisplayName/>
        <AccountId xsi:nil="true"/>
        <AccountType/>
      </UserInfo>
    </Edilson>
    <TaxCatchAll xmlns="2654f1fe-3808-4788-a1c9-5f0b422ba0d6" xsi:nil="true"/>
    <_Flow_SignoffStatus xmlns="f713f894-8e5f-49bb-aba3-bc5acb6c15a1" xsi:nil="true"/>
  </documentManagement>
</p:properties>
</file>

<file path=customXml/itemProps1.xml><?xml version="1.0" encoding="utf-8"?>
<ds:datastoreItem xmlns:ds="http://schemas.openxmlformats.org/officeDocument/2006/customXml" ds:itemID="{0F8E024F-0147-404C-941E-E17B03874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92178-8027-473D-AB0E-03392A907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10D42-1654-461C-9118-4A0DFFF3A35B}">
  <ds:schemaRefs>
    <ds:schemaRef ds:uri="http://purl.org/dc/dcmitype/"/>
    <ds:schemaRef ds:uri="http://schemas.microsoft.com/office/2006/documentManagement/types"/>
    <ds:schemaRef ds:uri="2654f1fe-3808-4788-a1c9-5f0b422ba0d6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f713f894-8e5f-49bb-aba3-bc5acb6c15a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Carlos Amaral Oliveira</dc:creator>
  <cp:keywords/>
  <dc:description/>
  <cp:lastModifiedBy>Juliana Vilela</cp:lastModifiedBy>
  <cp:revision>2</cp:revision>
  <dcterms:created xsi:type="dcterms:W3CDTF">2025-02-04T19:02:00Z</dcterms:created>
  <dcterms:modified xsi:type="dcterms:W3CDTF">2025-02-04T19:02:00Z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MediaServiceImageTags">
    <vt:lpwstr/>
  </property>
</Properties>
</file>