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4A45" w14:textId="77777777" w:rsidR="00CB0366" w:rsidRPr="00CB0366" w:rsidRDefault="00CB0366" w:rsidP="00580A45">
      <w:pPr>
        <w:spacing w:line="360" w:lineRule="auto"/>
        <w:jc w:val="both"/>
        <w:rPr>
          <w:rFonts w:ascii="Arial" w:hAnsi="Arial" w:cs="Arial"/>
          <w:b/>
          <w:bCs/>
          <w:sz w:val="8"/>
          <w:szCs w:val="8"/>
        </w:rPr>
      </w:pPr>
    </w:p>
    <w:p w14:paraId="76285D6B" w14:textId="1FE69C20" w:rsidR="0070796C" w:rsidRPr="00CB0366" w:rsidRDefault="00580A45" w:rsidP="00580A45">
      <w:pPr>
        <w:spacing w:line="360" w:lineRule="auto"/>
        <w:jc w:val="both"/>
        <w:rPr>
          <w:rFonts w:ascii="Arial" w:hAnsi="Arial" w:cs="Arial"/>
        </w:rPr>
      </w:pPr>
      <w:r w:rsidRPr="00CB0366">
        <w:rPr>
          <w:rFonts w:ascii="Arial" w:hAnsi="Arial" w:cs="Arial"/>
          <w:b/>
          <w:bCs/>
        </w:rPr>
        <w:t>Ata da 34ª REUNIÃO EXTRAORDINÁRIA DO CBH PIRANGA, realizada no dia 10/02/2026, às 14h, de modo virtual</w:t>
      </w:r>
      <w:r w:rsidRPr="00CB0366">
        <w:rPr>
          <w:rFonts w:ascii="Arial" w:hAnsi="Arial" w:cs="Arial"/>
        </w:rPr>
        <w:t xml:space="preserve">. Juliana Vilela, da Secretaria Executiva de Apoio aos Comitês, iniciou a reunião plenária gravada do CBH Piranga, que se focaria em três processos de outorga. Carlos Eduardo Silva, Presidente do Comitê de Bacia Hidrográfica do Rio </w:t>
      </w:r>
      <w:r w:rsidR="004605DF" w:rsidRPr="00CB0366">
        <w:rPr>
          <w:rFonts w:ascii="Arial" w:hAnsi="Arial" w:cs="Arial"/>
        </w:rPr>
        <w:t>P</w:t>
      </w:r>
      <w:r w:rsidRPr="00CB0366">
        <w:rPr>
          <w:rFonts w:ascii="Arial" w:hAnsi="Arial" w:cs="Arial"/>
        </w:rPr>
        <w:t xml:space="preserve">iranga, confirmou que a pauta era para a avaliação de três outorgas da Cedro Mineração de Mariana, após uma avaliação da </w:t>
      </w:r>
      <w:r w:rsidR="004605DF" w:rsidRPr="00CB0366">
        <w:rPr>
          <w:rFonts w:ascii="Arial" w:hAnsi="Arial" w:cs="Arial"/>
        </w:rPr>
        <w:t>CTOC</w:t>
      </w:r>
      <w:r w:rsidRPr="00CB0366">
        <w:rPr>
          <w:rFonts w:ascii="Arial" w:hAnsi="Arial" w:cs="Arial"/>
        </w:rPr>
        <w:t xml:space="preserve"> e da agência. Ele também pediu desculpas por um incidente de invasão de </w:t>
      </w:r>
      <w:r w:rsidRPr="00CB0366">
        <w:rPr>
          <w:rFonts w:ascii="Arial" w:hAnsi="Arial" w:cs="Arial"/>
          <w:i/>
          <w:iCs/>
        </w:rPr>
        <w:t>hack</w:t>
      </w:r>
      <w:r w:rsidR="004605DF" w:rsidRPr="00CB0366">
        <w:rPr>
          <w:rFonts w:ascii="Arial" w:hAnsi="Arial" w:cs="Arial"/>
          <w:i/>
          <w:iCs/>
        </w:rPr>
        <w:t>er</w:t>
      </w:r>
      <w:r w:rsidRPr="00CB0366">
        <w:rPr>
          <w:rFonts w:ascii="Arial" w:hAnsi="Arial" w:cs="Arial"/>
        </w:rPr>
        <w:t xml:space="preserve"> que ocorreu no início da reunião. Foi realizada a verificação de quórum necessária para a reunião virtual, solicitando que os presentes respondessem por microfone ou chat. Após a chamada e registro de presença foi estabelecido um quórum inicial de 25 instituições votantes, superior ao quórum </w:t>
      </w:r>
      <w:r w:rsidR="004605DF" w:rsidRPr="00CB0366">
        <w:rPr>
          <w:rFonts w:ascii="Arial" w:hAnsi="Arial" w:cs="Arial"/>
        </w:rPr>
        <w:t xml:space="preserve">mínimo </w:t>
      </w:r>
      <w:r w:rsidRPr="00CB0366">
        <w:rPr>
          <w:rFonts w:ascii="Arial" w:hAnsi="Arial" w:cs="Arial"/>
        </w:rPr>
        <w:t>de 19, permitindo a instalação da reunião. Luana Santos solicitou a correção de seu nome, que estava incompleto tanto na lista de presença quanto na ata. A Secretaria CBH Doce confirmou que a correção seria feita, e que verificaria se a mesma informação incorreta estava no portal do IGA</w:t>
      </w:r>
      <w:r w:rsidR="007B4DDA" w:rsidRPr="00CB0366">
        <w:rPr>
          <w:rFonts w:ascii="Arial" w:hAnsi="Arial" w:cs="Arial"/>
        </w:rPr>
        <w:t>M</w:t>
      </w:r>
      <w:r w:rsidRPr="00CB0366">
        <w:rPr>
          <w:rFonts w:ascii="Arial" w:hAnsi="Arial" w:cs="Arial"/>
        </w:rPr>
        <w:t xml:space="preserve"> para solicitar a correção lá também. A ata da reunião virtual de 12 de dezembro de 2025 foi aprovada com a incorporação das correções solicitadas por Luana, incluindo o nome e a justificativa para sua abstenção na votação anterior (ausência na reunião), e com o registro de abstenção da FIEMG. Foi dado início à análise e deliberação das três outorgas da Cedro Mineração, seguindo a Deliberação do Conselho Estadual de Recursos Hídricos nº 31 de 2009. O procedimento envolveu a análise técnica da agência e encaminhamento para a Câmara Técnica (conjunta CTIL e CTOC), com a palavra sendo aberta ao empreendedor, ao representante do estado (FEAM) e ao técnico da agência, antes da recomendação final da Câmara Técnica ser apresentada ao plenário. Rafael Batista Gontijo, responsável técnico, apresentou os três processos de outorga para desvio total (cava, planta e pilha) necessários para a ampliação do empreendimento de extração e beneficiamento de minério de ferro em Mariana. Ele explicou que as intervenções de grande porte estão na sub-bacia do Camargos, um afluente do G</w:t>
      </w:r>
      <w:r w:rsidR="004605DF" w:rsidRPr="00CB0366">
        <w:rPr>
          <w:rFonts w:ascii="Arial" w:hAnsi="Arial" w:cs="Arial"/>
        </w:rPr>
        <w:t>u</w:t>
      </w:r>
      <w:r w:rsidRPr="00CB0366">
        <w:rPr>
          <w:rFonts w:ascii="Arial" w:hAnsi="Arial" w:cs="Arial"/>
        </w:rPr>
        <w:t>ala</w:t>
      </w:r>
      <w:r w:rsidR="004605DF" w:rsidRPr="00CB0366">
        <w:rPr>
          <w:rFonts w:ascii="Arial" w:hAnsi="Arial" w:cs="Arial"/>
        </w:rPr>
        <w:t>x</w:t>
      </w:r>
      <w:r w:rsidRPr="00CB0366">
        <w:rPr>
          <w:rFonts w:ascii="Arial" w:hAnsi="Arial" w:cs="Arial"/>
        </w:rPr>
        <w:t xml:space="preserve">o do Norte, e que os projetos foram superdimensionados com um tempo de retorno (TR) de 500 anos e um incremento de 30% nas verificações hidráulicas para garantir a segurança </w:t>
      </w:r>
      <w:r w:rsidRPr="00CB0366">
        <w:rPr>
          <w:rFonts w:ascii="Arial" w:hAnsi="Arial" w:cs="Arial"/>
        </w:rPr>
        <w:lastRenderedPageBreak/>
        <w:t>hídrica e eficiência dos canais. Marina Damasceno, da equipe técnica da FEA</w:t>
      </w:r>
      <w:r w:rsidR="007B4DDA" w:rsidRPr="00CB0366">
        <w:rPr>
          <w:rFonts w:ascii="Arial" w:hAnsi="Arial" w:cs="Arial"/>
        </w:rPr>
        <w:t>M</w:t>
      </w:r>
      <w:r w:rsidRPr="00CB0366">
        <w:rPr>
          <w:rFonts w:ascii="Arial" w:hAnsi="Arial" w:cs="Arial"/>
        </w:rPr>
        <w:t>, resumiu a análise técnica dos processos da CEDRO. Ela informou que, após a formalização e complementação de informações pelo empreendedor, a análise dos métodos e dimensionamentos resultou em um parecer técnico favorável ao deferimento das outorgas, seguindo o termo de referência do IGAM e a legislação pertinente. Adriano Batista, técnico da AGEDOCE, apresentou o parecer da agência sobre os três processos de outorga para desvio total no Córrego dos Camargos. A análise focou nos impactos sobre a utilização dos recursos hídricos, considerando as diretrizes do Plano Integral de Recursos Hídricos da Bacia do Rio Doce e a Deliberação nº 88 de 2023 sobre o enquadramento. Adriano Batista concluiu que as prioridades legais de uso (consumo humano, dessedentação animal, abastecimento público e manutenção dos ecossistemas) não seriam impactadas, pois os desvios não são usos consuntivos. Ele notou que o Córrego dos Camargos está enquadrado como Classe 2 e que, apesar de o monitoramento de qualidade da água ter sido estrategicamente planejado, a possibilidade de contato da água com percolados pode afetar a classe de enquadramento, justificando a sugestão de condicionantes. O transporte hidroviário não foi analisado devido à ausência dessa prática na região, e os usos múltiplos não seriam impactados pela falta de uso consuntivo. A agência sugeriu o deferimento das outorgas com a inserção de três condicionantes. A primeira é adicionar fósforo e coliformes termotolerantes ao monitoramento, a segunda é realizar duas campanhas de monitoramento da qualidade da água (período seco e úmido) por um ano antes da implantação (dispensável se a prática já existir), e a terceira é manter atualizado o cadastro de usos consuntivos na microbacia do Córrego dos Camargos a cada dois anos. Januaria Fonseca expressou preocupação com a Condicionante 3 (manter atualizado o cadastro de usos consuntivos), levantando a questão de que tal obrigação compete ao órgão gestor (IGAM) e não ao empreendedor. Ela questionou se isso não poderia gerar indisponibilidade para usuários não regularizados e pediu o posicionamento do IGA</w:t>
      </w:r>
      <w:r w:rsidR="007B4DDA" w:rsidRPr="00CB0366">
        <w:rPr>
          <w:rFonts w:ascii="Arial" w:hAnsi="Arial" w:cs="Arial"/>
        </w:rPr>
        <w:t>M</w:t>
      </w:r>
      <w:r w:rsidRPr="00CB0366">
        <w:rPr>
          <w:rFonts w:ascii="Arial" w:hAnsi="Arial" w:cs="Arial"/>
        </w:rPr>
        <w:t xml:space="preserve"> sobre a adequação dessa exigência ao usuário. Eduardo de Araujo Rodrigues, do IGA</w:t>
      </w:r>
      <w:r w:rsidR="007B4DDA" w:rsidRPr="00CB0366">
        <w:rPr>
          <w:rFonts w:ascii="Arial" w:hAnsi="Arial" w:cs="Arial"/>
        </w:rPr>
        <w:t>M</w:t>
      </w:r>
      <w:r w:rsidRPr="00CB0366">
        <w:rPr>
          <w:rFonts w:ascii="Arial" w:hAnsi="Arial" w:cs="Arial"/>
        </w:rPr>
        <w:t xml:space="preserve">, solicitou que a FEAM se manifestasse primeiro sobre a Condicionante 3. Marina </w:t>
      </w:r>
      <w:r w:rsidRPr="00CB0366">
        <w:rPr>
          <w:rFonts w:ascii="Arial" w:hAnsi="Arial" w:cs="Arial"/>
        </w:rPr>
        <w:lastRenderedPageBreak/>
        <w:t>Damasceno, da FEAM, referiu-se ao Artigo 14 da Portaria 48, que trata do monitoramento, como base para a exigência. Danubia Cardoso, também da FEA</w:t>
      </w:r>
      <w:r w:rsidR="007B4DDA" w:rsidRPr="00CB0366">
        <w:rPr>
          <w:rFonts w:ascii="Arial" w:hAnsi="Arial" w:cs="Arial"/>
        </w:rPr>
        <w:t>M</w:t>
      </w:r>
      <w:r w:rsidRPr="00CB0366">
        <w:rPr>
          <w:rFonts w:ascii="Arial" w:hAnsi="Arial" w:cs="Arial"/>
        </w:rPr>
        <w:t>, questionou a competência do Comitê de Bacia para sugerir ou inserir condicionantes e a inclusão dos parâmetros fósforo e coliformes. Ela reiterou que a atualização do cadastro de usuários deve ser uma responsabilidade do próprio usuário ou do órgão gestor, não do empreendedor. Anderson Jesus defendeu as condicionantes debatidas na Câmara Técnica, afirmando que o Comitê está trabalhando em paralelo ao Estado para complementar as informações, dada a ineficiência de informações fornecidas pelo IGA</w:t>
      </w:r>
      <w:r w:rsidR="00B640CA" w:rsidRPr="00CB0366">
        <w:rPr>
          <w:rFonts w:ascii="Arial" w:hAnsi="Arial" w:cs="Arial"/>
        </w:rPr>
        <w:t>M</w:t>
      </w:r>
      <w:r w:rsidRPr="00CB0366">
        <w:rPr>
          <w:rFonts w:ascii="Arial" w:hAnsi="Arial" w:cs="Arial"/>
        </w:rPr>
        <w:t>. Ele explicou que a atualização de cadastros serve para o acervo, conhecimento e monitoramento do próprio enquadramento aprovado pelo Comitê, e que o empreendedor cumpre a condicionante ao justificar a impossibilidade de obter informações de terceiros. Ele também esclareceu que a análise do Comitê não é técnica, mas sim de votação sobre o que está sendo exposto. Anderson Jesus iniciou a discussão, enfatizando que o papel do Conselheiro vai além de "carimbar" outorgas, envolvendo análise e estudo aprofundados dos documentos e proposições. Adriano Batista complementou, citando a Resolução 31/2</w:t>
      </w:r>
      <w:r w:rsidR="004605DF" w:rsidRPr="00CB0366">
        <w:rPr>
          <w:rFonts w:ascii="Arial" w:hAnsi="Arial" w:cs="Arial"/>
        </w:rPr>
        <w:t>00</w:t>
      </w:r>
      <w:r w:rsidRPr="00CB0366">
        <w:rPr>
          <w:rFonts w:ascii="Arial" w:hAnsi="Arial" w:cs="Arial"/>
        </w:rPr>
        <w:t xml:space="preserve">9, que estabelece que a Agência de Bacia (ou entidade equiparada) analisa os pareceres sobre outorga e encaminha as conclusões para a decisão do Comitê. Ele destacou que, embora o poder outorgante seja o estado (IGAM), a responsabilidade de deliberação sobre o processo de outorga, após a transferência de responsabilidade, requer que o Comitê se posicione com base em análises técnicas, como a emissão de pareceres de suporte. Adriano Batista esclareceu que a gestão de recursos hídricos deve considerar o potencial da água como um recurso, englobando as dimensões econômica, social e ambiental, e não apenas a questão ambiental da água. Ele mencionou que a análise do potencial social envolve a consideração de vantagens (como geração de empregos) e desvantagens (como o impacto no usuário final em casos de calamidade), argumentando que o usuário deve ser incluído na análise, mesmo que não esteja explicitamente no artigo 14 da DN, que trata de quantidade e qualidade. Anderson Jesus reforçou a necessidade de analisar documentos e ter consciência do que está sendo votado, e que a dificuldade de exercer uma </w:t>
      </w:r>
      <w:r w:rsidRPr="00CB0366">
        <w:rPr>
          <w:rFonts w:ascii="Arial" w:hAnsi="Arial" w:cs="Arial"/>
        </w:rPr>
        <w:lastRenderedPageBreak/>
        <w:t>atividade não é um impedimento para que ela ocorra. Eduardo de Araujo Rodrigues concordou com a clareza da fala de Adriano Batista sobre o futuro, mas discordou que o papel do Comitê e da Agência não estivesse claro nas normas, afirmando que a função de fiscalização ou monitoramento, conforme a DN31, não é do Comitê. Ele lembrou que, historicamente, a ideia original da Agência de Águas previa cadastro e monitoramento pelo Comitê/entidade delegatária, mas esse modelo nunca se consolidou no Brasil, ficando essas responsabilidades com os órgãos gestores. Adriano Batista esclareceu que eles possuem a responsabilidade de emitir parecer técnico, mas não a competência de fiscalizar, que é do IGAM. Eduardo de Araujo Rodrigues destacou que a participação dos Comitês na avaliação dos processos de outorga, especialmente em Minas Gerais, é um avanço, embora não seja estritamente uma análise técnica. Contudo, ele concordou que a análise deve ser técnica para detectar pontos de atenção aos conselheiros, especialmente em relação ao enquadramento, que é o primeiro do Brasil a ter toda a bacia definida. Eduardo de Araujo Rodrigues enfatizou que o papel do enquadramento é orientar a concessão de água, limitando vazões e qualidade para atender às classes de uso preponderante. A discussão se aprofundou sobre a natureza da inserção de requisitos nos processos de outorga. Eduardo de Araujo Rodrigues, respondendo a Januária, afirmou que o desafio é não impor requisitos como condicionantes, pois isso é competência do órgão gestor (IGA</w:t>
      </w:r>
      <w:r w:rsidR="0030068C" w:rsidRPr="00CB0366">
        <w:rPr>
          <w:rFonts w:ascii="Arial" w:hAnsi="Arial" w:cs="Arial"/>
        </w:rPr>
        <w:t>M</w:t>
      </w:r>
      <w:r w:rsidRPr="00CB0366">
        <w:rPr>
          <w:rFonts w:ascii="Arial" w:hAnsi="Arial" w:cs="Arial"/>
        </w:rPr>
        <w:t xml:space="preserve">), mas sim como orientação, </w:t>
      </w:r>
      <w:r w:rsidR="00603A72" w:rsidRPr="00CB0366">
        <w:rPr>
          <w:rFonts w:ascii="Arial" w:hAnsi="Arial" w:cs="Arial"/>
        </w:rPr>
        <w:t>recomendação ou solicitação</w:t>
      </w:r>
      <w:r w:rsidRPr="00CB0366">
        <w:rPr>
          <w:rFonts w:ascii="Arial" w:hAnsi="Arial" w:cs="Arial"/>
        </w:rPr>
        <w:t xml:space="preserve">. Ele explicou que o Comitê deve recomendar para que o órgão </w:t>
      </w:r>
      <w:r w:rsidR="00603A72" w:rsidRPr="00CB0366">
        <w:rPr>
          <w:rFonts w:ascii="Arial" w:hAnsi="Arial" w:cs="Arial"/>
        </w:rPr>
        <w:t>análise</w:t>
      </w:r>
      <w:r w:rsidRPr="00CB0366">
        <w:rPr>
          <w:rFonts w:ascii="Arial" w:hAnsi="Arial" w:cs="Arial"/>
        </w:rPr>
        <w:t xml:space="preserve"> e faça o deferimento ou não, pois quem delibera em última instância é o diretor-geral do IGAM.  Danubia Cardoso e Eduardo de Araujo Rodrigues levantaram dúvidas sobre a inclusão de parâmetros como fósforo e coliformes termotolerantes no monitoramento da atividade minerária. Adriano Batista justificou a inclusão, informando que esses são os quatro parâmetros que compõem o enquadramento de todos os cursos d'água na bacia. No entanto, Eduardo de Araujo Rodrigues alertou para a necessidade de verificar se a fonte desses parâmetros é a atividade minerária, pois eles geralmente têm fontes definidas, como efluentes urbanos ou agrícolas. Rafael Batista Gontijo, responsável técnico, esclareceu que as intervenções de </w:t>
      </w:r>
      <w:r w:rsidRPr="00CB0366">
        <w:rPr>
          <w:rFonts w:ascii="Arial" w:hAnsi="Arial" w:cs="Arial"/>
        </w:rPr>
        <w:lastRenderedPageBreak/>
        <w:t xml:space="preserve">desvio e diques visam mitigar e reduzir os impactos da mineração sobre os recursos hídricos, não sendo para o uso da água. Ele ressaltou que a atividade minerária em questão não é consuntiva e não haverá lançamento direto de efluentes em cursos d’água. Anderson Jesus, por outro lado, levantou que a grande quantidade de pessoas trabalhando no empreendimento, superior à de pequenas cidades, pode justificar a preocupação com o monitoramento de fósforo e coliformes, devido à sobrecarga das infraestruturas. Eduardo de Araujo Rodrigues destacou que, embora a Câmara Técnica precise ser </w:t>
      </w:r>
      <w:proofErr w:type="gramStart"/>
      <w:r w:rsidRPr="00CB0366">
        <w:rPr>
          <w:rFonts w:ascii="Arial" w:hAnsi="Arial" w:cs="Arial"/>
        </w:rPr>
        <w:t>melhor</w:t>
      </w:r>
      <w:proofErr w:type="gramEnd"/>
      <w:r w:rsidRPr="00CB0366">
        <w:rPr>
          <w:rFonts w:ascii="Arial" w:hAnsi="Arial" w:cs="Arial"/>
        </w:rPr>
        <w:t xml:space="preserve"> capacitada para avaliar os enquadramentos, o principal desafio é ampliar a rede de monitoramento de qualidade de água com parcerias, uma vez que órgãos como a Agência Nacional de Águas (ANA) já atingiram seu limite). Ele sugeriu que o setor minerário, assim como outros setores, poderia colaborar com essa ampliação, beneficiando-se ao comprovar que suas operações não impactam negativamente a qualidade da água. Rogerio Jacinto Gomes questionou a avaliação de cheias a jusante das intervenções de desvio, dado o aumento do escoamento superficial e redução da infiltração devido à alteração da cobertura do solo. Rafael Batista Gontijo assegurou que os estudos hidrológicos foram realizados com um tempo de retorno (TR) de 500 anos, muito acima do exigido pelo IGAM (50 anos), e que as simulações demonstraram que os canais de desvio e os </w:t>
      </w:r>
      <w:proofErr w:type="spellStart"/>
      <w:r w:rsidRPr="00CB0366">
        <w:rPr>
          <w:rFonts w:ascii="Arial" w:hAnsi="Arial" w:cs="Arial"/>
          <w:i/>
          <w:iCs/>
        </w:rPr>
        <w:t>samplings</w:t>
      </w:r>
      <w:proofErr w:type="spellEnd"/>
      <w:r w:rsidRPr="00CB0366">
        <w:rPr>
          <w:rFonts w:ascii="Arial" w:hAnsi="Arial" w:cs="Arial"/>
        </w:rPr>
        <w:t xml:space="preserve"> (</w:t>
      </w:r>
      <w:proofErr w:type="spellStart"/>
      <w:r w:rsidRPr="00CB0366">
        <w:rPr>
          <w:rFonts w:ascii="Arial" w:hAnsi="Arial" w:cs="Arial"/>
        </w:rPr>
        <w:t>SAMPs</w:t>
      </w:r>
      <w:proofErr w:type="spellEnd"/>
      <w:r w:rsidRPr="00CB0366">
        <w:rPr>
          <w:rFonts w:ascii="Arial" w:hAnsi="Arial" w:cs="Arial"/>
        </w:rPr>
        <w:t xml:space="preserve">) comportam as vazões de projeto, garantindo que as águas serão entregues ao curso hídrico natural em velocidades e qualidades adequadas. Ele esclareceu que os </w:t>
      </w:r>
      <w:proofErr w:type="spellStart"/>
      <w:r w:rsidRPr="00CB0366">
        <w:rPr>
          <w:rFonts w:ascii="Arial" w:hAnsi="Arial" w:cs="Arial"/>
        </w:rPr>
        <w:t>SAMPs</w:t>
      </w:r>
      <w:proofErr w:type="spellEnd"/>
      <w:r w:rsidRPr="00CB0366">
        <w:rPr>
          <w:rFonts w:ascii="Arial" w:hAnsi="Arial" w:cs="Arial"/>
        </w:rPr>
        <w:t xml:space="preserve"> (reservatórios) têm como objetivo principal a sedimentação, mas também auxiliam no amortecimento da vazão, e que o dimensionamento dessas estruturas está em outro processo administrativo (licenciamento)</w:t>
      </w:r>
      <w:r w:rsidR="009D3267" w:rsidRPr="00CB0366">
        <w:rPr>
          <w:rFonts w:ascii="Arial" w:hAnsi="Arial" w:cs="Arial"/>
        </w:rPr>
        <w:t xml:space="preserve">. Juliana Vilela solicitou esclarecimento sobre a terceira sugestão de condicionante: se ela seria mantida como sugestão de condicionante ou recomendação. Adriano Batista esclareceu que, como o Comitê não tem autonomia para impor condicionantes, as sugestões da Câmara Técnica são propostas para inserção de condicionantes, e a definição da manutenção ou retirada dessas sugestões é o que será deliberado. Eduardo de Araujo Rodrigues reforçou que o Comitê pode apenas "recomendar" a inserção das observações como condicionantes (ou de outra forma) na análise do órgão </w:t>
      </w:r>
      <w:r w:rsidR="009D3267" w:rsidRPr="00CB0366">
        <w:rPr>
          <w:rFonts w:ascii="Arial" w:hAnsi="Arial" w:cs="Arial"/>
        </w:rPr>
        <w:lastRenderedPageBreak/>
        <w:t xml:space="preserve">gestor. O ponto principal para votação na plenária foi definido como sendo se os conselheiros são favoráveis ou não ao deferimento do pedido de outorga, e se seriam a favor com ou sem as recomendações propostas pela Câmara Técnica. Rogerio Jacinto Gomes perguntou se a votação seria conjunta ou por sugestão, </w:t>
      </w:r>
      <w:r w:rsidR="00197726" w:rsidRPr="00CB0366">
        <w:rPr>
          <w:rFonts w:ascii="Arial" w:hAnsi="Arial" w:cs="Arial"/>
        </w:rPr>
        <w:t>Juliana Vilela</w:t>
      </w:r>
      <w:r w:rsidR="009D3267" w:rsidRPr="00CB0366">
        <w:rPr>
          <w:rFonts w:ascii="Arial" w:hAnsi="Arial" w:cs="Arial"/>
        </w:rPr>
        <w:t xml:space="preserve"> sugeriu a votação em bloco, como foi a apresentação. A Secretaria CBH Doce conduziu a votação para o deferimento de três processos de outorga (4083/2024, 17553/2025, 17801/2025) requeridos pela CEDRO mineração. Rogerio Jacinto Gomes inicialmente expressou uma preocupação com o item três, que envolveria o empreendimento atualizar o cadastro de cidadãos, mas foi esclarecido que a votação inicial era genérica sobre o deferimento dos processos, antes de entrar no mérito das recomendações. Após a votação, o deferimento dos três processos foi aprovado, pois não houve registro de abstenção ou voto contrário. </w:t>
      </w:r>
      <w:r w:rsidR="00197726" w:rsidRPr="00CB0366">
        <w:rPr>
          <w:rFonts w:ascii="Arial" w:hAnsi="Arial" w:cs="Arial"/>
        </w:rPr>
        <w:t>Juliana Vilela</w:t>
      </w:r>
      <w:r w:rsidR="009D3267" w:rsidRPr="00CB0366">
        <w:rPr>
          <w:rFonts w:ascii="Arial" w:hAnsi="Arial" w:cs="Arial"/>
        </w:rPr>
        <w:t xml:space="preserve"> apresentou três recomendações para deliberação do comitê. A primeira recomendação, referente à adição dos parâmetros</w:t>
      </w:r>
      <w:r w:rsidR="00603A72" w:rsidRPr="00CB0366">
        <w:rPr>
          <w:rFonts w:ascii="Arial" w:hAnsi="Arial" w:cs="Arial"/>
        </w:rPr>
        <w:t xml:space="preserve">, </w:t>
      </w:r>
      <w:r w:rsidR="009D3267" w:rsidRPr="00CB0366">
        <w:rPr>
          <w:rFonts w:ascii="Arial" w:hAnsi="Arial" w:cs="Arial"/>
        </w:rPr>
        <w:t xml:space="preserve">conforme deliberação normativa 88/2023, e a segunda, sobre a realização de no mínimo duas campanhas anuais de monitoramento da qualidade da água até a implantação do empreendimento, foram aprovadas sem votos contrários ou abstenções. Para a terceira recomendação, que tratava da manutenção atualizada do cadastro de usos consuntivos a cada dois anos, houve mais discussão, e a votação foi nominal pelo chat. </w:t>
      </w:r>
      <w:r w:rsidR="00197726" w:rsidRPr="00CB0366">
        <w:rPr>
          <w:rFonts w:ascii="Arial" w:hAnsi="Arial" w:cs="Arial"/>
        </w:rPr>
        <w:t>Juliana Vilela</w:t>
      </w:r>
      <w:r w:rsidR="009D3267" w:rsidRPr="00CB0366">
        <w:rPr>
          <w:rFonts w:ascii="Arial" w:hAnsi="Arial" w:cs="Arial"/>
        </w:rPr>
        <w:t xml:space="preserve"> contabilizou 13 votos favoráveis, sete contrários e quatro abstenções, resultando na manutenção do terceiro item como recomendação, não como condicionante. Eduardo de Araujo Rodrigues destacou que as recomendações do comitê seriam avaliadas pela FEA</w:t>
      </w:r>
      <w:r w:rsidR="00197726" w:rsidRPr="00CB0366">
        <w:rPr>
          <w:rFonts w:ascii="Arial" w:hAnsi="Arial" w:cs="Arial"/>
        </w:rPr>
        <w:t>M</w:t>
      </w:r>
      <w:r w:rsidR="009D3267" w:rsidRPr="00CB0366">
        <w:rPr>
          <w:rFonts w:ascii="Arial" w:hAnsi="Arial" w:cs="Arial"/>
        </w:rPr>
        <w:t xml:space="preserve">, e que a inclusão delas como condicionantes não era garantida, embora pudessem ser observadas em uma reanálise. Anderson Jesus expressou satisfação, afirmando que o comitê agiu como um órgão deliberativo, reconhecendo suas limitações legais, mas enfatizando a necessidade de evoluir a discussão além do simples "sim ou não" à captação de água. Eduardo de Araujo Rodrigues desafiou esta percepção, corrigindo que o principal papel deliberativo dos comitês, conforme a lei 9433, é "deliberar normatizando" os usos na bacia, algo que, infelizmente, os comitês de bacia têm feito pouco no Brasil. Eduardo de Araujo Rodrigues propôs que o comitê inicie o processo de </w:t>
      </w:r>
      <w:r w:rsidR="009D3267" w:rsidRPr="00CB0366">
        <w:rPr>
          <w:rFonts w:ascii="Arial" w:hAnsi="Arial" w:cs="Arial"/>
        </w:rPr>
        <w:lastRenderedPageBreak/>
        <w:t>normatização da outorga da água, o que daria mais poder ao comitê de condicionar usos adequadamente, uma vez que o IGAM é obrigado a acatar normas deliberadas pelo comitê. Carlos Eduardo Silva, antes de agradecer e encerrar, mencionou a importância de capacitar todos os conselheiros sobre as leis e o Plano Integrado para que possam discutir em um nível mais elevado. Ambos, Eduardo de Araujo Rodrigues e Carlos Eduardo Silva, apoiaram a retomada das reuniões presenciais.</w:t>
      </w:r>
      <w:r w:rsidR="00197726" w:rsidRPr="00CB0366">
        <w:rPr>
          <w:rFonts w:ascii="Arial" w:hAnsi="Arial" w:cs="Arial"/>
        </w:rPr>
        <w:t xml:space="preserve"> Sem mais a trata</w:t>
      </w:r>
      <w:r w:rsidR="00603A72" w:rsidRPr="00CB0366">
        <w:rPr>
          <w:rFonts w:ascii="Arial" w:hAnsi="Arial" w:cs="Arial"/>
        </w:rPr>
        <w:t>r</w:t>
      </w:r>
      <w:r w:rsidR="00197726" w:rsidRPr="00CB0366">
        <w:rPr>
          <w:rFonts w:ascii="Arial" w:hAnsi="Arial" w:cs="Arial"/>
        </w:rPr>
        <w:t xml:space="preserve">, a presente reunião foi encerrada. </w:t>
      </w:r>
    </w:p>
    <w:sectPr w:rsidR="0070796C" w:rsidRPr="00CB036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9230" w14:textId="77777777" w:rsidR="00282124" w:rsidRDefault="00282124" w:rsidP="00CB0366">
      <w:pPr>
        <w:spacing w:after="0" w:line="240" w:lineRule="auto"/>
      </w:pPr>
      <w:r>
        <w:separator/>
      </w:r>
    </w:p>
  </w:endnote>
  <w:endnote w:type="continuationSeparator" w:id="0">
    <w:p w14:paraId="574FFD9A" w14:textId="77777777" w:rsidR="00282124" w:rsidRDefault="00282124" w:rsidP="00CB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5ACE8" w14:textId="77777777" w:rsidR="00282124" w:rsidRDefault="00282124" w:rsidP="00CB0366">
      <w:pPr>
        <w:spacing w:after="0" w:line="240" w:lineRule="auto"/>
      </w:pPr>
      <w:r>
        <w:separator/>
      </w:r>
    </w:p>
  </w:footnote>
  <w:footnote w:type="continuationSeparator" w:id="0">
    <w:p w14:paraId="530BA890" w14:textId="77777777" w:rsidR="00282124" w:rsidRDefault="00282124" w:rsidP="00CB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E252" w14:textId="2478EF34" w:rsidR="00CB0366" w:rsidRDefault="00CB0366" w:rsidP="00CB0366">
    <w:pPr>
      <w:pStyle w:val="Cabealho"/>
      <w:jc w:val="center"/>
    </w:pPr>
    <w:r w:rsidRPr="00454633">
      <w:rPr>
        <w:noProof/>
      </w:rPr>
      <w:drawing>
        <wp:inline distT="0" distB="0" distL="0" distR="0" wp14:anchorId="4E7D5231" wp14:editId="38C6F366">
          <wp:extent cx="1372624" cy="772160"/>
          <wp:effectExtent l="0" t="0" r="0" b="8890"/>
          <wp:docPr id="1498894722" name="Imagem 2"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58040" name="Imagem 2"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57" cy="77336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45"/>
    <w:rsid w:val="00047FD7"/>
    <w:rsid w:val="00197726"/>
    <w:rsid w:val="00282124"/>
    <w:rsid w:val="0030068C"/>
    <w:rsid w:val="004605DF"/>
    <w:rsid w:val="00580A45"/>
    <w:rsid w:val="00583002"/>
    <w:rsid w:val="00603A72"/>
    <w:rsid w:val="0070796C"/>
    <w:rsid w:val="007B4DDA"/>
    <w:rsid w:val="008A3BA4"/>
    <w:rsid w:val="00926B9D"/>
    <w:rsid w:val="009B33BE"/>
    <w:rsid w:val="009D3267"/>
    <w:rsid w:val="00B640CA"/>
    <w:rsid w:val="00C117E7"/>
    <w:rsid w:val="00CB0366"/>
    <w:rsid w:val="00EF5F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8158"/>
  <w15:chartTrackingRefBased/>
  <w15:docId w15:val="{971DD9FB-0A10-472D-B78A-CD02BDEE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80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80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80A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80A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80A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80A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80A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80A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80A4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0A4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80A4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80A4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80A4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80A4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80A4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80A4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80A4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80A45"/>
    <w:rPr>
      <w:rFonts w:eastAsiaTheme="majorEastAsia" w:cstheme="majorBidi"/>
      <w:color w:val="272727" w:themeColor="text1" w:themeTint="D8"/>
    </w:rPr>
  </w:style>
  <w:style w:type="paragraph" w:styleId="Ttulo">
    <w:name w:val="Title"/>
    <w:basedOn w:val="Normal"/>
    <w:next w:val="Normal"/>
    <w:link w:val="TtuloChar"/>
    <w:uiPriority w:val="10"/>
    <w:qFormat/>
    <w:rsid w:val="00580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80A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80A4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80A4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80A45"/>
    <w:pPr>
      <w:spacing w:before="160"/>
      <w:jc w:val="center"/>
    </w:pPr>
    <w:rPr>
      <w:i/>
      <w:iCs/>
      <w:color w:val="404040" w:themeColor="text1" w:themeTint="BF"/>
    </w:rPr>
  </w:style>
  <w:style w:type="character" w:customStyle="1" w:styleId="CitaoChar">
    <w:name w:val="Citação Char"/>
    <w:basedOn w:val="Fontepargpadro"/>
    <w:link w:val="Citao"/>
    <w:uiPriority w:val="29"/>
    <w:rsid w:val="00580A45"/>
    <w:rPr>
      <w:i/>
      <w:iCs/>
      <w:color w:val="404040" w:themeColor="text1" w:themeTint="BF"/>
    </w:rPr>
  </w:style>
  <w:style w:type="paragraph" w:styleId="PargrafodaLista">
    <w:name w:val="List Paragraph"/>
    <w:basedOn w:val="Normal"/>
    <w:uiPriority w:val="34"/>
    <w:qFormat/>
    <w:rsid w:val="00580A45"/>
    <w:pPr>
      <w:ind w:left="720"/>
      <w:contextualSpacing/>
    </w:pPr>
  </w:style>
  <w:style w:type="character" w:styleId="nfaseIntensa">
    <w:name w:val="Intense Emphasis"/>
    <w:basedOn w:val="Fontepargpadro"/>
    <w:uiPriority w:val="21"/>
    <w:qFormat/>
    <w:rsid w:val="00580A45"/>
    <w:rPr>
      <w:i/>
      <w:iCs/>
      <w:color w:val="0F4761" w:themeColor="accent1" w:themeShade="BF"/>
    </w:rPr>
  </w:style>
  <w:style w:type="paragraph" w:styleId="CitaoIntensa">
    <w:name w:val="Intense Quote"/>
    <w:basedOn w:val="Normal"/>
    <w:next w:val="Normal"/>
    <w:link w:val="CitaoIntensaChar"/>
    <w:uiPriority w:val="30"/>
    <w:qFormat/>
    <w:rsid w:val="00580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80A45"/>
    <w:rPr>
      <w:i/>
      <w:iCs/>
      <w:color w:val="0F4761" w:themeColor="accent1" w:themeShade="BF"/>
    </w:rPr>
  </w:style>
  <w:style w:type="character" w:styleId="RefernciaIntensa">
    <w:name w:val="Intense Reference"/>
    <w:basedOn w:val="Fontepargpadro"/>
    <w:uiPriority w:val="32"/>
    <w:qFormat/>
    <w:rsid w:val="00580A45"/>
    <w:rPr>
      <w:b/>
      <w:bCs/>
      <w:smallCaps/>
      <w:color w:val="0F4761" w:themeColor="accent1" w:themeShade="BF"/>
      <w:spacing w:val="5"/>
    </w:rPr>
  </w:style>
  <w:style w:type="character" w:styleId="Hyperlink">
    <w:name w:val="Hyperlink"/>
    <w:basedOn w:val="Fontepargpadro"/>
    <w:uiPriority w:val="99"/>
    <w:unhideWhenUsed/>
    <w:rsid w:val="00580A45"/>
    <w:rPr>
      <w:color w:val="467886" w:themeColor="hyperlink"/>
      <w:u w:val="single"/>
    </w:rPr>
  </w:style>
  <w:style w:type="character" w:styleId="MenoPendente">
    <w:name w:val="Unresolved Mention"/>
    <w:basedOn w:val="Fontepargpadro"/>
    <w:uiPriority w:val="99"/>
    <w:semiHidden/>
    <w:unhideWhenUsed/>
    <w:rsid w:val="00580A45"/>
    <w:rPr>
      <w:color w:val="605E5C"/>
      <w:shd w:val="clear" w:color="auto" w:fill="E1DFDD"/>
    </w:rPr>
  </w:style>
  <w:style w:type="paragraph" w:styleId="Cabealho">
    <w:name w:val="header"/>
    <w:basedOn w:val="Normal"/>
    <w:link w:val="CabealhoChar"/>
    <w:uiPriority w:val="99"/>
    <w:unhideWhenUsed/>
    <w:rsid w:val="00CB03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0366"/>
  </w:style>
  <w:style w:type="paragraph" w:styleId="Rodap">
    <w:name w:val="footer"/>
    <w:basedOn w:val="Normal"/>
    <w:link w:val="RodapChar"/>
    <w:uiPriority w:val="99"/>
    <w:unhideWhenUsed/>
    <w:rsid w:val="00CB0366"/>
    <w:pPr>
      <w:tabs>
        <w:tab w:val="center" w:pos="4252"/>
        <w:tab w:val="right" w:pos="8504"/>
      </w:tabs>
      <w:spacing w:after="0" w:line="240" w:lineRule="auto"/>
    </w:pPr>
  </w:style>
  <w:style w:type="character" w:customStyle="1" w:styleId="RodapChar">
    <w:name w:val="Rodapé Char"/>
    <w:basedOn w:val="Fontepargpadro"/>
    <w:link w:val="Rodap"/>
    <w:uiPriority w:val="99"/>
    <w:rsid w:val="00CB0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7</Pages>
  <Words>2312</Words>
  <Characters>12489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Carlos Amaral Oliveira</dc:creator>
  <cp:keywords/>
  <dc:description/>
  <cp:lastModifiedBy>Juliana Pinto</cp:lastModifiedBy>
  <cp:revision>4</cp:revision>
  <dcterms:created xsi:type="dcterms:W3CDTF">2026-02-12T16:16:00Z</dcterms:created>
  <dcterms:modified xsi:type="dcterms:W3CDTF">2026-03-13T17:11:00Z</dcterms:modified>
</cp:coreProperties>
</file>