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81C9B" w14:textId="77777777" w:rsidR="00C20C06" w:rsidRDefault="006D74F8">
      <w:pPr>
        <w:spacing w:before="100" w:beforeAutospacing="1" w:after="100" w:afterAutospacing="1" w:line="240" w:lineRule="auto"/>
        <w:rPr>
          <w:rFonts w:eastAsia="Times New Roman" w:cstheme="minorHAnsi"/>
          <w:color w:val="000000"/>
          <w:sz w:val="26"/>
          <w:szCs w:val="26"/>
          <w:lang w:eastAsia="pt-BR"/>
        </w:rPr>
      </w:pPr>
      <w:r>
        <w:rPr>
          <w:rFonts w:eastAsia="Times New Roman" w:cstheme="minorHAnsi"/>
          <w:b/>
          <w:bCs/>
          <w:color w:val="000000"/>
          <w:sz w:val="26"/>
          <w:szCs w:val="26"/>
          <w:lang w:eastAsia="pt-BR"/>
        </w:rPr>
        <w:t>Parecer Único IEF/GCARF/</w:t>
      </w:r>
      <w:proofErr w:type="spellStart"/>
      <w:r>
        <w:rPr>
          <w:rFonts w:eastAsia="Times New Roman" w:cstheme="minorHAnsi"/>
          <w:b/>
          <w:bCs/>
          <w:color w:val="000000"/>
          <w:sz w:val="26"/>
          <w:szCs w:val="26"/>
          <w:lang w:eastAsia="pt-BR"/>
        </w:rPr>
        <w:t>URFBio</w:t>
      </w:r>
      <w:proofErr w:type="spellEnd"/>
      <w:r>
        <w:rPr>
          <w:rFonts w:eastAsia="Times New Roman" w:cstheme="minorHAnsi"/>
          <w:b/>
          <w:bCs/>
          <w:color w:val="000000"/>
          <w:sz w:val="26"/>
          <w:szCs w:val="26"/>
          <w:lang w:eastAsia="pt-BR"/>
        </w:rPr>
        <w:t xml:space="preserve"> SUL - COMP MINERÁRIA/2022</w:t>
      </w:r>
    </w:p>
    <w:p w14:paraId="52BE4F35" w14:textId="77777777" w:rsidR="00C20C06" w:rsidRDefault="006D74F8">
      <w:pPr>
        <w:shd w:val="clear" w:color="auto" w:fill="E6E6E6"/>
        <w:spacing w:before="120" w:after="120" w:line="240" w:lineRule="auto"/>
        <w:ind w:left="120" w:right="120"/>
        <w:jc w:val="both"/>
        <w:rPr>
          <w:rFonts w:eastAsia="Times New Roman" w:cstheme="minorHAnsi"/>
          <w:b/>
          <w:bCs/>
          <w:color w:val="000000"/>
          <w:sz w:val="26"/>
          <w:szCs w:val="26"/>
          <w:lang w:eastAsia="pt-BR"/>
        </w:rPr>
      </w:pPr>
      <w:r>
        <w:rPr>
          <w:rFonts w:eastAsia="Times New Roman" w:cstheme="minorHAnsi"/>
          <w:b/>
          <w:bCs/>
          <w:caps/>
          <w:color w:val="000000"/>
          <w:sz w:val="26"/>
          <w:szCs w:val="26"/>
          <w:lang w:eastAsia="pt-BR"/>
        </w:rPr>
        <w:t xml:space="preserve">PROCESSO </w:t>
      </w:r>
      <w:proofErr w:type="gramStart"/>
      <w:r>
        <w:rPr>
          <w:rFonts w:eastAsia="Times New Roman" w:cstheme="minorHAnsi"/>
          <w:b/>
          <w:bCs/>
          <w:caps/>
          <w:color w:val="000000"/>
          <w:sz w:val="26"/>
          <w:szCs w:val="26"/>
          <w:lang w:eastAsia="pt-BR"/>
        </w:rPr>
        <w:t xml:space="preserve">SEI </w:t>
      </w:r>
      <w:r>
        <w:rPr>
          <w:rFonts w:ascii="Calibri" w:eastAsia="SimSun" w:hAnsi="Calibri" w:cs="Calibri"/>
          <w:b/>
          <w:sz w:val="26"/>
          <w:szCs w:val="26"/>
        </w:rPr>
        <w:t xml:space="preserve"> </w:t>
      </w:r>
      <w:r>
        <w:rPr>
          <w:rFonts w:eastAsia="Times New Roman" w:cstheme="minorHAnsi"/>
          <w:b/>
          <w:bCs/>
          <w:caps/>
          <w:color w:val="000000"/>
          <w:sz w:val="26"/>
          <w:szCs w:val="26"/>
          <w:lang w:eastAsia="pt-BR"/>
        </w:rPr>
        <w:t>nº</w:t>
      </w:r>
      <w:proofErr w:type="gramEnd"/>
      <w:r>
        <w:rPr>
          <w:rFonts w:ascii="Calibri" w:eastAsia="SimSun" w:hAnsi="Calibri" w:cs="Calibri"/>
          <w:b/>
          <w:sz w:val="26"/>
          <w:szCs w:val="26"/>
        </w:rPr>
        <w:t xml:space="preserve">  2100.01.0026764/2020-37</w:t>
      </w:r>
    </w:p>
    <w:p w14:paraId="69F1897B" w14:textId="77777777" w:rsidR="00C20C06" w:rsidRDefault="006D74F8">
      <w:pPr>
        <w:spacing w:before="120" w:after="120" w:line="240" w:lineRule="auto"/>
        <w:ind w:left="120" w:right="120"/>
        <w:rPr>
          <w:rFonts w:eastAsia="Times New Roman" w:cstheme="minorHAnsi"/>
          <w:color w:val="000000"/>
          <w:sz w:val="26"/>
          <w:szCs w:val="26"/>
          <w:lang w:eastAsia="pt-BR"/>
        </w:rPr>
      </w:pPr>
      <w:r>
        <w:rPr>
          <w:rFonts w:eastAsia="Times New Roman" w:cstheme="minorHAnsi"/>
          <w:b/>
          <w:bCs/>
          <w:color w:val="000000"/>
          <w:sz w:val="26"/>
          <w:szCs w:val="26"/>
          <w:lang w:eastAsia="pt-BR"/>
        </w:rPr>
        <w:t>PROPOSTA DE COMPENSAÇÃO FLORESTAL MINERÁRIA</w:t>
      </w:r>
    </w:p>
    <w:p w14:paraId="72341CBB" w14:textId="77777777" w:rsidR="00C20C06" w:rsidRDefault="006D74F8">
      <w:pPr>
        <w:spacing w:before="120" w:after="120" w:line="240" w:lineRule="auto"/>
        <w:ind w:left="120" w:right="120"/>
        <w:rPr>
          <w:rFonts w:eastAsia="Times New Roman" w:cstheme="minorHAnsi"/>
          <w:color w:val="000000"/>
          <w:sz w:val="26"/>
          <w:szCs w:val="26"/>
          <w:lang w:eastAsia="pt-BR"/>
        </w:rPr>
      </w:pPr>
      <w:r>
        <w:rPr>
          <w:rFonts w:eastAsia="Times New Roman" w:cstheme="minorHAnsi"/>
          <w:color w:val="000000"/>
          <w:sz w:val="26"/>
          <w:szCs w:val="26"/>
          <w:lang w:eastAsia="pt-BR"/>
        </w:rPr>
        <w:t> </w:t>
      </w:r>
    </w:p>
    <w:p w14:paraId="543F2519" w14:textId="77777777" w:rsidR="00C20C06" w:rsidRDefault="006D74F8">
      <w:pPr>
        <w:shd w:val="clear" w:color="auto" w:fill="E6E6E6"/>
        <w:spacing w:before="120" w:after="120" w:line="240" w:lineRule="auto"/>
        <w:ind w:left="120" w:right="120"/>
        <w:jc w:val="both"/>
        <w:rPr>
          <w:rFonts w:eastAsia="Times New Roman" w:cstheme="minorHAnsi"/>
          <w:b/>
          <w:bCs/>
          <w:caps/>
          <w:color w:val="000000"/>
          <w:sz w:val="26"/>
          <w:szCs w:val="26"/>
          <w:lang w:eastAsia="pt-BR"/>
        </w:rPr>
      </w:pPr>
      <w:r>
        <w:rPr>
          <w:rFonts w:eastAsia="Times New Roman" w:cstheme="minorHAnsi"/>
          <w:b/>
          <w:bCs/>
          <w:caps/>
          <w:color w:val="000000"/>
          <w:sz w:val="26"/>
          <w:szCs w:val="26"/>
          <w:lang w:eastAsia="pt-BR"/>
        </w:rPr>
        <w:t>1 - DADOS DO EMPREENDIMENTO E ANÁLISE</w:t>
      </w:r>
    </w:p>
    <w:tbl>
      <w:tblPr>
        <w:tblW w:w="8178" w:type="dxa"/>
        <w:jc w:val="center"/>
        <w:tblCellSpacing w:w="4" w:type="dxa"/>
        <w:tblBorders>
          <w:top w:val="outset" w:sz="6" w:space="0" w:color="auto"/>
          <w:left w:val="outset" w:sz="6" w:space="0" w:color="auto"/>
          <w:bottom w:val="outset" w:sz="6" w:space="0" w:color="auto"/>
          <w:right w:val="outset" w:sz="6" w:space="0" w:color="auto"/>
        </w:tblBorders>
        <w:tblCellMar>
          <w:top w:w="9" w:type="dxa"/>
          <w:left w:w="9" w:type="dxa"/>
          <w:bottom w:w="9" w:type="dxa"/>
          <w:right w:w="9" w:type="dxa"/>
        </w:tblCellMar>
        <w:tblLook w:val="04A0" w:firstRow="1" w:lastRow="0" w:firstColumn="1" w:lastColumn="0" w:noHBand="0" w:noVBand="1"/>
      </w:tblPr>
      <w:tblGrid>
        <w:gridCol w:w="4228"/>
        <w:gridCol w:w="3950"/>
      </w:tblGrid>
      <w:tr w:rsidR="00C20C06" w14:paraId="74F24044" w14:textId="77777777">
        <w:trPr>
          <w:tblCellSpacing w:w="4" w:type="dxa"/>
          <w:jc w:val="center"/>
        </w:trPr>
        <w:tc>
          <w:tcPr>
            <w:tcW w:w="4216" w:type="dxa"/>
            <w:tcBorders>
              <w:top w:val="outset" w:sz="6" w:space="0" w:color="auto"/>
              <w:left w:val="outset" w:sz="6" w:space="0" w:color="auto"/>
              <w:bottom w:val="outset" w:sz="6" w:space="0" w:color="auto"/>
              <w:right w:val="outset" w:sz="6" w:space="0" w:color="auto"/>
            </w:tcBorders>
            <w:vAlign w:val="center"/>
          </w:tcPr>
          <w:p w14:paraId="157F10F8"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b/>
                <w:bCs/>
                <w:color w:val="000000"/>
                <w:sz w:val="26"/>
                <w:szCs w:val="26"/>
                <w:lang w:eastAsia="pt-BR"/>
              </w:rPr>
              <w:t>Tipo de processo</w:t>
            </w:r>
          </w:p>
        </w:tc>
        <w:tc>
          <w:tcPr>
            <w:tcW w:w="3938" w:type="dxa"/>
            <w:tcBorders>
              <w:top w:val="outset" w:sz="6" w:space="0" w:color="auto"/>
              <w:left w:val="outset" w:sz="6" w:space="0" w:color="auto"/>
              <w:bottom w:val="outset" w:sz="6" w:space="0" w:color="auto"/>
              <w:right w:val="outset" w:sz="6" w:space="0" w:color="auto"/>
            </w:tcBorders>
            <w:vAlign w:val="center"/>
          </w:tcPr>
          <w:p w14:paraId="46BAA840" w14:textId="77777777" w:rsidR="00C20C06" w:rsidRDefault="006D74F8">
            <w:pPr>
              <w:spacing w:after="0" w:line="240" w:lineRule="auto"/>
              <w:rPr>
                <w:rFonts w:eastAsia="Times New Roman" w:cstheme="minorHAnsi"/>
                <w:color w:val="000000"/>
                <w:sz w:val="26"/>
                <w:szCs w:val="26"/>
                <w:lang w:eastAsia="pt-BR"/>
              </w:rPr>
            </w:pPr>
            <w:proofErr w:type="gramStart"/>
            <w:r>
              <w:rPr>
                <w:rFonts w:eastAsia="Times New Roman" w:cstheme="minorHAnsi"/>
                <w:color w:val="000000"/>
                <w:sz w:val="26"/>
                <w:szCs w:val="26"/>
                <w:lang w:eastAsia="pt-BR"/>
              </w:rPr>
              <w:t>( X</w:t>
            </w:r>
            <w:proofErr w:type="gramEnd"/>
            <w:r>
              <w:rPr>
                <w:rFonts w:eastAsia="Times New Roman" w:cstheme="minorHAnsi"/>
                <w:color w:val="000000"/>
                <w:sz w:val="26"/>
                <w:szCs w:val="26"/>
                <w:lang w:eastAsia="pt-BR"/>
              </w:rPr>
              <w:t xml:space="preserve"> ) Licenciamento Ambiental</w:t>
            </w:r>
          </w:p>
          <w:p w14:paraId="01D574E6" w14:textId="77777777" w:rsidR="00C20C06" w:rsidRDefault="006D74F8">
            <w:pPr>
              <w:spacing w:after="0" w:line="240" w:lineRule="auto"/>
              <w:rPr>
                <w:rFonts w:eastAsia="Times New Roman" w:cstheme="minorHAnsi"/>
                <w:color w:val="000000"/>
                <w:sz w:val="26"/>
                <w:szCs w:val="26"/>
                <w:lang w:eastAsia="pt-BR"/>
              </w:rPr>
            </w:pPr>
            <w:proofErr w:type="gramStart"/>
            <w:r>
              <w:rPr>
                <w:rFonts w:eastAsia="Times New Roman" w:cstheme="minorHAnsi"/>
                <w:color w:val="000000"/>
                <w:sz w:val="26"/>
                <w:szCs w:val="26"/>
                <w:lang w:eastAsia="pt-BR"/>
              </w:rPr>
              <w:t xml:space="preserve">(  </w:t>
            </w:r>
            <w:proofErr w:type="gramEnd"/>
            <w:r>
              <w:rPr>
                <w:rFonts w:eastAsia="Times New Roman" w:cstheme="minorHAnsi"/>
                <w:color w:val="000000"/>
                <w:sz w:val="26"/>
                <w:szCs w:val="26"/>
                <w:lang w:eastAsia="pt-BR"/>
              </w:rPr>
              <w:t xml:space="preserve"> ) Autorização para Intervenção Ambiental</w:t>
            </w:r>
          </w:p>
        </w:tc>
      </w:tr>
      <w:tr w:rsidR="00C20C06" w14:paraId="69F7C71B" w14:textId="77777777">
        <w:trPr>
          <w:tblCellSpacing w:w="4" w:type="dxa"/>
          <w:jc w:val="center"/>
        </w:trPr>
        <w:tc>
          <w:tcPr>
            <w:tcW w:w="4216" w:type="dxa"/>
            <w:tcBorders>
              <w:top w:val="outset" w:sz="6" w:space="0" w:color="auto"/>
              <w:left w:val="outset" w:sz="6" w:space="0" w:color="auto"/>
              <w:bottom w:val="outset" w:sz="6" w:space="0" w:color="auto"/>
              <w:right w:val="outset" w:sz="6" w:space="0" w:color="auto"/>
            </w:tcBorders>
            <w:vAlign w:val="center"/>
          </w:tcPr>
          <w:p w14:paraId="0C987110"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b/>
                <w:bCs/>
                <w:color w:val="000000"/>
                <w:sz w:val="26"/>
                <w:szCs w:val="26"/>
                <w:lang w:eastAsia="pt-BR"/>
              </w:rPr>
              <w:t>Número do processo/instrumento</w:t>
            </w:r>
          </w:p>
        </w:tc>
        <w:tc>
          <w:tcPr>
            <w:tcW w:w="3938" w:type="dxa"/>
            <w:tcBorders>
              <w:top w:val="outset" w:sz="6" w:space="0" w:color="auto"/>
              <w:left w:val="outset" w:sz="6" w:space="0" w:color="auto"/>
              <w:bottom w:val="outset" w:sz="6" w:space="0" w:color="auto"/>
              <w:right w:val="outset" w:sz="6" w:space="0" w:color="auto"/>
            </w:tcBorders>
            <w:vAlign w:val="center"/>
          </w:tcPr>
          <w:p w14:paraId="4F361CB2" w14:textId="77777777" w:rsidR="00C20C06" w:rsidRDefault="006D74F8">
            <w:pPr>
              <w:pStyle w:val="Default"/>
              <w:rPr>
                <w:rFonts w:asciiTheme="minorHAnsi" w:eastAsia="Times New Roman" w:hAnsiTheme="minorHAnsi" w:cstheme="minorHAnsi"/>
                <w:sz w:val="26"/>
                <w:szCs w:val="26"/>
                <w:lang w:eastAsia="pt-BR"/>
              </w:rPr>
            </w:pPr>
            <w:r>
              <w:rPr>
                <w:rFonts w:asciiTheme="minorHAnsi" w:eastAsia="Times New Roman" w:hAnsiTheme="minorHAnsi" w:cstheme="minorHAnsi"/>
                <w:sz w:val="26"/>
                <w:szCs w:val="26"/>
                <w:lang w:eastAsia="pt-BR"/>
              </w:rPr>
              <w:t>PA COPAM n. 06425/2005/010/2019</w:t>
            </w:r>
          </w:p>
        </w:tc>
      </w:tr>
      <w:tr w:rsidR="00C20C06" w14:paraId="22C5A7E2" w14:textId="77777777">
        <w:trPr>
          <w:tblCellSpacing w:w="4" w:type="dxa"/>
          <w:jc w:val="center"/>
        </w:trPr>
        <w:tc>
          <w:tcPr>
            <w:tcW w:w="4216" w:type="dxa"/>
            <w:tcBorders>
              <w:top w:val="outset" w:sz="6" w:space="0" w:color="auto"/>
              <w:left w:val="outset" w:sz="6" w:space="0" w:color="auto"/>
              <w:bottom w:val="outset" w:sz="6" w:space="0" w:color="auto"/>
              <w:right w:val="outset" w:sz="6" w:space="0" w:color="auto"/>
            </w:tcBorders>
            <w:vAlign w:val="center"/>
          </w:tcPr>
          <w:p w14:paraId="619E4CF8"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b/>
                <w:bCs/>
                <w:color w:val="000000"/>
                <w:sz w:val="26"/>
                <w:szCs w:val="26"/>
                <w:lang w:eastAsia="pt-BR"/>
              </w:rPr>
              <w:t>Fase do licenciamento</w:t>
            </w:r>
          </w:p>
        </w:tc>
        <w:tc>
          <w:tcPr>
            <w:tcW w:w="3938" w:type="dxa"/>
            <w:tcBorders>
              <w:top w:val="outset" w:sz="6" w:space="0" w:color="auto"/>
              <w:left w:val="outset" w:sz="6" w:space="0" w:color="auto"/>
              <w:bottom w:val="outset" w:sz="6" w:space="0" w:color="auto"/>
              <w:right w:val="outset" w:sz="6" w:space="0" w:color="auto"/>
            </w:tcBorders>
            <w:vAlign w:val="center"/>
          </w:tcPr>
          <w:p w14:paraId="10FBB118"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color w:val="000000"/>
                <w:sz w:val="26"/>
                <w:szCs w:val="26"/>
                <w:lang w:eastAsia="pt-BR"/>
              </w:rPr>
              <w:t>LP+LI+LO</w:t>
            </w:r>
          </w:p>
        </w:tc>
      </w:tr>
      <w:tr w:rsidR="00C20C06" w14:paraId="065BB153" w14:textId="77777777">
        <w:trPr>
          <w:tblCellSpacing w:w="4" w:type="dxa"/>
          <w:jc w:val="center"/>
        </w:trPr>
        <w:tc>
          <w:tcPr>
            <w:tcW w:w="4216" w:type="dxa"/>
            <w:tcBorders>
              <w:top w:val="outset" w:sz="6" w:space="0" w:color="auto"/>
              <w:left w:val="outset" w:sz="6" w:space="0" w:color="auto"/>
              <w:bottom w:val="outset" w:sz="6" w:space="0" w:color="auto"/>
              <w:right w:val="outset" w:sz="6" w:space="0" w:color="auto"/>
            </w:tcBorders>
            <w:vAlign w:val="center"/>
          </w:tcPr>
          <w:p w14:paraId="13C64B7E"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b/>
                <w:bCs/>
                <w:color w:val="000000"/>
                <w:sz w:val="26"/>
                <w:szCs w:val="26"/>
                <w:lang w:eastAsia="pt-BR"/>
              </w:rPr>
              <w:t>Empreendedor</w:t>
            </w:r>
          </w:p>
        </w:tc>
        <w:tc>
          <w:tcPr>
            <w:tcW w:w="3938" w:type="dxa"/>
            <w:tcBorders>
              <w:top w:val="outset" w:sz="6" w:space="0" w:color="auto"/>
              <w:left w:val="outset" w:sz="6" w:space="0" w:color="auto"/>
              <w:bottom w:val="outset" w:sz="6" w:space="0" w:color="auto"/>
              <w:right w:val="outset" w:sz="6" w:space="0" w:color="auto"/>
            </w:tcBorders>
            <w:vAlign w:val="center"/>
          </w:tcPr>
          <w:p w14:paraId="394AD1B4" w14:textId="77777777" w:rsidR="00C20C06" w:rsidRDefault="006D74F8">
            <w:pPr>
              <w:spacing w:after="0" w:line="240" w:lineRule="auto"/>
              <w:rPr>
                <w:rFonts w:ascii="Calibri" w:hAnsi="Calibri" w:cs="Calibri"/>
              </w:rPr>
            </w:pPr>
            <w:r>
              <w:rPr>
                <w:rFonts w:eastAsia="Times New Roman" w:cstheme="minorHAnsi"/>
                <w:color w:val="000000"/>
                <w:sz w:val="26"/>
                <w:szCs w:val="26"/>
                <w:lang w:eastAsia="pt-BR"/>
              </w:rPr>
              <w:t>OLIMPIO FERREIRA DE ANDRADE E CIA LTDA ME</w:t>
            </w:r>
          </w:p>
        </w:tc>
      </w:tr>
      <w:tr w:rsidR="00C20C06" w14:paraId="4874BC67" w14:textId="77777777">
        <w:trPr>
          <w:tblCellSpacing w:w="4" w:type="dxa"/>
          <w:jc w:val="center"/>
        </w:trPr>
        <w:tc>
          <w:tcPr>
            <w:tcW w:w="4216" w:type="dxa"/>
            <w:tcBorders>
              <w:top w:val="outset" w:sz="6" w:space="0" w:color="auto"/>
              <w:left w:val="outset" w:sz="6" w:space="0" w:color="auto"/>
              <w:bottom w:val="outset" w:sz="6" w:space="0" w:color="auto"/>
              <w:right w:val="outset" w:sz="6" w:space="0" w:color="auto"/>
            </w:tcBorders>
            <w:vAlign w:val="center"/>
          </w:tcPr>
          <w:p w14:paraId="06AE62D8" w14:textId="77777777" w:rsidR="00C20C06" w:rsidRDefault="006D74F8">
            <w:pPr>
              <w:spacing w:after="0" w:line="240" w:lineRule="auto"/>
              <w:rPr>
                <w:rFonts w:eastAsia="Times New Roman" w:cstheme="minorHAnsi"/>
                <w:b/>
                <w:bCs/>
                <w:color w:val="000000"/>
                <w:sz w:val="26"/>
                <w:szCs w:val="26"/>
                <w:lang w:eastAsia="pt-BR"/>
              </w:rPr>
            </w:pPr>
            <w:r>
              <w:rPr>
                <w:rFonts w:eastAsia="Times New Roman" w:cstheme="minorHAnsi"/>
                <w:b/>
                <w:bCs/>
                <w:color w:val="000000"/>
                <w:sz w:val="26"/>
                <w:szCs w:val="26"/>
                <w:lang w:eastAsia="pt-BR"/>
              </w:rPr>
              <w:t>CNPJ / CPF</w:t>
            </w:r>
          </w:p>
        </w:tc>
        <w:tc>
          <w:tcPr>
            <w:tcW w:w="3938" w:type="dxa"/>
            <w:tcBorders>
              <w:top w:val="outset" w:sz="6" w:space="0" w:color="auto"/>
              <w:left w:val="outset" w:sz="6" w:space="0" w:color="auto"/>
              <w:bottom w:val="outset" w:sz="6" w:space="0" w:color="auto"/>
              <w:right w:val="outset" w:sz="6" w:space="0" w:color="auto"/>
            </w:tcBorders>
            <w:vAlign w:val="center"/>
          </w:tcPr>
          <w:p w14:paraId="6B12B9F4" w14:textId="77777777" w:rsidR="00C20C06" w:rsidRDefault="006D74F8">
            <w:pPr>
              <w:spacing w:after="0" w:line="240" w:lineRule="auto"/>
              <w:rPr>
                <w:rFonts w:ascii="Calibri" w:hAnsi="Calibri" w:cs="Calibri"/>
              </w:rPr>
            </w:pPr>
            <w:r>
              <w:rPr>
                <w:rFonts w:eastAsia="Times New Roman" w:cstheme="minorHAnsi"/>
                <w:color w:val="000000"/>
                <w:sz w:val="26"/>
                <w:szCs w:val="26"/>
                <w:lang w:eastAsia="pt-BR"/>
              </w:rPr>
              <w:t>05.946.419/0001-54</w:t>
            </w:r>
          </w:p>
        </w:tc>
      </w:tr>
      <w:tr w:rsidR="00C20C06" w14:paraId="7AC4C928" w14:textId="77777777">
        <w:trPr>
          <w:tblCellSpacing w:w="4" w:type="dxa"/>
          <w:jc w:val="center"/>
        </w:trPr>
        <w:tc>
          <w:tcPr>
            <w:tcW w:w="4216" w:type="dxa"/>
            <w:tcBorders>
              <w:top w:val="outset" w:sz="6" w:space="0" w:color="auto"/>
              <w:left w:val="outset" w:sz="6" w:space="0" w:color="auto"/>
              <w:bottom w:val="outset" w:sz="6" w:space="0" w:color="auto"/>
              <w:right w:val="outset" w:sz="6" w:space="0" w:color="auto"/>
            </w:tcBorders>
            <w:vAlign w:val="center"/>
          </w:tcPr>
          <w:p w14:paraId="416C9183"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b/>
                <w:bCs/>
                <w:color w:val="000000"/>
                <w:sz w:val="26"/>
                <w:szCs w:val="26"/>
                <w:lang w:eastAsia="pt-BR"/>
              </w:rPr>
              <w:t>Empreendimento</w:t>
            </w:r>
          </w:p>
        </w:tc>
        <w:tc>
          <w:tcPr>
            <w:tcW w:w="3938" w:type="dxa"/>
            <w:tcBorders>
              <w:top w:val="outset" w:sz="6" w:space="0" w:color="auto"/>
              <w:left w:val="outset" w:sz="6" w:space="0" w:color="auto"/>
              <w:bottom w:val="outset" w:sz="6" w:space="0" w:color="auto"/>
              <w:right w:val="outset" w:sz="6" w:space="0" w:color="auto"/>
            </w:tcBorders>
            <w:vAlign w:val="center"/>
          </w:tcPr>
          <w:p w14:paraId="7D171D1C" w14:textId="77777777" w:rsidR="00C20C06" w:rsidRDefault="006D74F8">
            <w:pPr>
              <w:spacing w:after="0" w:line="240" w:lineRule="auto"/>
              <w:rPr>
                <w:rFonts w:cs="Calibri"/>
                <w:color w:val="000000"/>
              </w:rPr>
            </w:pPr>
            <w:r>
              <w:rPr>
                <w:rFonts w:eastAsia="Times New Roman" w:cstheme="minorHAnsi"/>
                <w:color w:val="000000"/>
                <w:sz w:val="26"/>
                <w:szCs w:val="26"/>
                <w:lang w:eastAsia="pt-BR"/>
              </w:rPr>
              <w:t>OLIMPIO FERREIRA DE ANDRADE E CIA LTDA ME</w:t>
            </w:r>
          </w:p>
        </w:tc>
      </w:tr>
      <w:tr w:rsidR="00C20C06" w14:paraId="2BAAD38C" w14:textId="77777777">
        <w:trPr>
          <w:tblCellSpacing w:w="4" w:type="dxa"/>
          <w:jc w:val="center"/>
        </w:trPr>
        <w:tc>
          <w:tcPr>
            <w:tcW w:w="4216" w:type="dxa"/>
            <w:tcBorders>
              <w:top w:val="outset" w:sz="6" w:space="0" w:color="auto"/>
              <w:left w:val="outset" w:sz="6" w:space="0" w:color="auto"/>
              <w:bottom w:val="outset" w:sz="6" w:space="0" w:color="auto"/>
              <w:right w:val="outset" w:sz="6" w:space="0" w:color="auto"/>
            </w:tcBorders>
            <w:vAlign w:val="center"/>
          </w:tcPr>
          <w:p w14:paraId="6A660BD3"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b/>
                <w:bCs/>
                <w:color w:val="000000"/>
                <w:sz w:val="26"/>
                <w:szCs w:val="26"/>
                <w:lang w:eastAsia="pt-BR"/>
              </w:rPr>
              <w:t>DNPM / ANM</w:t>
            </w:r>
          </w:p>
        </w:tc>
        <w:tc>
          <w:tcPr>
            <w:tcW w:w="3938" w:type="dxa"/>
            <w:tcBorders>
              <w:top w:val="outset" w:sz="6" w:space="0" w:color="auto"/>
              <w:left w:val="outset" w:sz="6" w:space="0" w:color="auto"/>
              <w:bottom w:val="outset" w:sz="6" w:space="0" w:color="auto"/>
              <w:right w:val="outset" w:sz="6" w:space="0" w:color="auto"/>
            </w:tcBorders>
            <w:vAlign w:val="center"/>
          </w:tcPr>
          <w:p w14:paraId="67E08713" w14:textId="77777777" w:rsidR="00C20C06" w:rsidRDefault="006D74F8">
            <w:pPr>
              <w:spacing w:after="0" w:line="240" w:lineRule="auto"/>
              <w:rPr>
                <w:rFonts w:eastAsia="Times New Roman" w:cstheme="minorHAnsi"/>
                <w:bCs/>
                <w:sz w:val="26"/>
                <w:szCs w:val="26"/>
                <w:lang w:eastAsia="pt-BR"/>
              </w:rPr>
            </w:pPr>
            <w:r>
              <w:rPr>
                <w:rFonts w:eastAsia="Times New Roman" w:cstheme="minorHAnsi"/>
                <w:color w:val="000000"/>
                <w:sz w:val="26"/>
                <w:szCs w:val="26"/>
                <w:lang w:eastAsia="pt-BR"/>
              </w:rPr>
              <w:t>831.924/1989</w:t>
            </w:r>
          </w:p>
        </w:tc>
      </w:tr>
      <w:tr w:rsidR="00C20C06" w14:paraId="20188B52" w14:textId="77777777">
        <w:trPr>
          <w:tblCellSpacing w:w="4" w:type="dxa"/>
          <w:jc w:val="center"/>
        </w:trPr>
        <w:tc>
          <w:tcPr>
            <w:tcW w:w="4216" w:type="dxa"/>
            <w:tcBorders>
              <w:top w:val="outset" w:sz="6" w:space="0" w:color="auto"/>
              <w:left w:val="outset" w:sz="6" w:space="0" w:color="auto"/>
              <w:bottom w:val="outset" w:sz="6" w:space="0" w:color="auto"/>
              <w:right w:val="outset" w:sz="6" w:space="0" w:color="auto"/>
            </w:tcBorders>
            <w:vAlign w:val="center"/>
          </w:tcPr>
          <w:p w14:paraId="53826E10"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b/>
                <w:bCs/>
                <w:color w:val="000000"/>
                <w:sz w:val="26"/>
                <w:szCs w:val="26"/>
                <w:lang w:eastAsia="pt-BR"/>
              </w:rPr>
              <w:t>Atividade principal</w:t>
            </w:r>
          </w:p>
        </w:tc>
        <w:tc>
          <w:tcPr>
            <w:tcW w:w="3938" w:type="dxa"/>
            <w:tcBorders>
              <w:top w:val="outset" w:sz="6" w:space="0" w:color="auto"/>
              <w:left w:val="outset" w:sz="6" w:space="0" w:color="auto"/>
              <w:bottom w:val="outset" w:sz="6" w:space="0" w:color="auto"/>
              <w:right w:val="outset" w:sz="6" w:space="0" w:color="auto"/>
            </w:tcBorders>
            <w:vAlign w:val="center"/>
          </w:tcPr>
          <w:p w14:paraId="4DC52B3C" w14:textId="77777777" w:rsidR="00C20C06" w:rsidRDefault="006D74F8">
            <w:pPr>
              <w:spacing w:after="0" w:line="240" w:lineRule="auto"/>
              <w:rPr>
                <w:rFonts w:ascii="Calibri" w:hAnsi="Calibri" w:cs="Calibri"/>
              </w:rPr>
            </w:pPr>
            <w:r>
              <w:rPr>
                <w:rFonts w:eastAsia="Times New Roman" w:cstheme="minorHAnsi"/>
                <w:color w:val="000000"/>
                <w:sz w:val="26"/>
                <w:szCs w:val="26"/>
                <w:lang w:eastAsia="pt-BR"/>
              </w:rPr>
              <w:t>Lavra a céu aberto - rochas ornamentais e de revestimento; pilha de rejeito/estéril de rochas ornamentais e de revestimento; estradas para transporte de minério/estéril externa aos limites de empreendimentos minerários.</w:t>
            </w:r>
          </w:p>
        </w:tc>
      </w:tr>
      <w:tr w:rsidR="00C20C06" w14:paraId="0DF65CC0" w14:textId="77777777">
        <w:trPr>
          <w:tblCellSpacing w:w="4" w:type="dxa"/>
          <w:jc w:val="center"/>
        </w:trPr>
        <w:tc>
          <w:tcPr>
            <w:tcW w:w="4216" w:type="dxa"/>
            <w:tcBorders>
              <w:top w:val="outset" w:sz="6" w:space="0" w:color="auto"/>
              <w:left w:val="outset" w:sz="6" w:space="0" w:color="auto"/>
              <w:bottom w:val="outset" w:sz="6" w:space="0" w:color="auto"/>
              <w:right w:val="outset" w:sz="6" w:space="0" w:color="auto"/>
            </w:tcBorders>
            <w:vAlign w:val="center"/>
          </w:tcPr>
          <w:p w14:paraId="68A57931"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b/>
                <w:bCs/>
                <w:color w:val="000000"/>
                <w:sz w:val="26"/>
                <w:szCs w:val="26"/>
                <w:lang w:eastAsia="pt-BR"/>
              </w:rPr>
              <w:t>Classe</w:t>
            </w:r>
          </w:p>
        </w:tc>
        <w:tc>
          <w:tcPr>
            <w:tcW w:w="3938" w:type="dxa"/>
            <w:tcBorders>
              <w:top w:val="outset" w:sz="6" w:space="0" w:color="auto"/>
              <w:left w:val="outset" w:sz="6" w:space="0" w:color="auto"/>
              <w:bottom w:val="outset" w:sz="6" w:space="0" w:color="auto"/>
              <w:right w:val="outset" w:sz="6" w:space="0" w:color="auto"/>
            </w:tcBorders>
            <w:vAlign w:val="center"/>
          </w:tcPr>
          <w:p w14:paraId="2F2733AE"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color w:val="000000"/>
                <w:sz w:val="26"/>
                <w:szCs w:val="26"/>
                <w:lang w:eastAsia="pt-BR"/>
              </w:rPr>
              <w:t> 3</w:t>
            </w:r>
          </w:p>
        </w:tc>
      </w:tr>
      <w:tr w:rsidR="00C20C06" w14:paraId="67A938CB" w14:textId="77777777">
        <w:trPr>
          <w:tblCellSpacing w:w="4" w:type="dxa"/>
          <w:jc w:val="center"/>
        </w:trPr>
        <w:tc>
          <w:tcPr>
            <w:tcW w:w="4216" w:type="dxa"/>
            <w:tcBorders>
              <w:top w:val="outset" w:sz="6" w:space="0" w:color="auto"/>
              <w:left w:val="outset" w:sz="6" w:space="0" w:color="auto"/>
              <w:bottom w:val="outset" w:sz="6" w:space="0" w:color="auto"/>
              <w:right w:val="outset" w:sz="6" w:space="0" w:color="auto"/>
            </w:tcBorders>
            <w:vAlign w:val="center"/>
          </w:tcPr>
          <w:p w14:paraId="3F50F09D"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b/>
                <w:bCs/>
                <w:color w:val="000000"/>
                <w:sz w:val="26"/>
                <w:szCs w:val="26"/>
                <w:lang w:eastAsia="pt-BR"/>
              </w:rPr>
              <w:t>Condicionantes</w:t>
            </w:r>
          </w:p>
        </w:tc>
        <w:tc>
          <w:tcPr>
            <w:tcW w:w="3938" w:type="dxa"/>
            <w:tcBorders>
              <w:top w:val="outset" w:sz="6" w:space="0" w:color="auto"/>
              <w:left w:val="outset" w:sz="6" w:space="0" w:color="auto"/>
              <w:bottom w:val="outset" w:sz="6" w:space="0" w:color="auto"/>
              <w:right w:val="outset" w:sz="6" w:space="0" w:color="auto"/>
            </w:tcBorders>
            <w:vAlign w:val="center"/>
          </w:tcPr>
          <w:p w14:paraId="1F2BA016"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color w:val="000000"/>
                <w:sz w:val="26"/>
                <w:szCs w:val="26"/>
                <w:lang w:eastAsia="pt-BR"/>
              </w:rPr>
              <w:t> 6, 7 e 8</w:t>
            </w:r>
          </w:p>
        </w:tc>
      </w:tr>
      <w:tr w:rsidR="00C20C06" w14:paraId="67BA7D7A" w14:textId="77777777">
        <w:trPr>
          <w:tblCellSpacing w:w="4" w:type="dxa"/>
          <w:jc w:val="center"/>
        </w:trPr>
        <w:tc>
          <w:tcPr>
            <w:tcW w:w="4216" w:type="dxa"/>
            <w:tcBorders>
              <w:top w:val="outset" w:sz="6" w:space="0" w:color="auto"/>
              <w:left w:val="outset" w:sz="6" w:space="0" w:color="auto"/>
              <w:bottom w:val="outset" w:sz="6" w:space="0" w:color="auto"/>
              <w:right w:val="outset" w:sz="6" w:space="0" w:color="auto"/>
            </w:tcBorders>
            <w:vAlign w:val="center"/>
          </w:tcPr>
          <w:p w14:paraId="61F4A48D"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b/>
                <w:bCs/>
                <w:color w:val="000000"/>
                <w:sz w:val="26"/>
                <w:szCs w:val="26"/>
                <w:lang w:eastAsia="pt-BR"/>
              </w:rPr>
              <w:t>Enquadramento</w:t>
            </w:r>
          </w:p>
        </w:tc>
        <w:tc>
          <w:tcPr>
            <w:tcW w:w="3938" w:type="dxa"/>
            <w:tcBorders>
              <w:top w:val="outset" w:sz="6" w:space="0" w:color="auto"/>
              <w:left w:val="outset" w:sz="6" w:space="0" w:color="auto"/>
              <w:bottom w:val="outset" w:sz="6" w:space="0" w:color="auto"/>
              <w:right w:val="outset" w:sz="6" w:space="0" w:color="auto"/>
            </w:tcBorders>
            <w:vAlign w:val="center"/>
          </w:tcPr>
          <w:p w14:paraId="0159A924"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color w:val="000000"/>
                <w:sz w:val="26"/>
                <w:szCs w:val="26"/>
                <w:lang w:eastAsia="pt-BR"/>
              </w:rPr>
              <w:t>§</w:t>
            </w:r>
            <w:r>
              <w:rPr>
                <w:rFonts w:eastAsia="Times New Roman" w:cstheme="minorHAnsi"/>
                <w:color w:val="000000"/>
                <w:sz w:val="26"/>
                <w:szCs w:val="26"/>
                <w:lang w:val="en-US" w:eastAsia="pt-BR"/>
              </w:rPr>
              <w:t>§</w:t>
            </w:r>
            <w:r>
              <w:rPr>
                <w:rFonts w:eastAsia="Times New Roman" w:cstheme="minorHAnsi"/>
                <w:color w:val="000000"/>
                <w:sz w:val="26"/>
                <w:szCs w:val="26"/>
                <w:lang w:eastAsia="pt-BR"/>
              </w:rPr>
              <w:t xml:space="preserve"> 1º e 2º</w:t>
            </w:r>
            <w:r>
              <w:rPr>
                <w:rFonts w:eastAsia="Times New Roman" w:cstheme="minorHAnsi"/>
                <w:color w:val="000000"/>
                <w:sz w:val="26"/>
                <w:szCs w:val="26"/>
                <w:lang w:val="en-US" w:eastAsia="pt-BR"/>
              </w:rPr>
              <w:t>,</w:t>
            </w:r>
            <w:r>
              <w:rPr>
                <w:rFonts w:eastAsia="Times New Roman" w:cstheme="minorHAnsi"/>
                <w:color w:val="000000"/>
                <w:sz w:val="26"/>
                <w:szCs w:val="26"/>
                <w:lang w:eastAsia="pt-BR"/>
              </w:rPr>
              <w:t xml:space="preserve"> do Art. 75</w:t>
            </w:r>
            <w:r>
              <w:rPr>
                <w:rFonts w:eastAsia="Times New Roman" w:cstheme="minorHAnsi"/>
                <w:color w:val="000000"/>
                <w:sz w:val="26"/>
                <w:szCs w:val="26"/>
                <w:lang w:val="en-US" w:eastAsia="pt-BR"/>
              </w:rPr>
              <w:t>,</w:t>
            </w:r>
            <w:r>
              <w:rPr>
                <w:rFonts w:eastAsia="Times New Roman" w:cstheme="minorHAnsi"/>
                <w:color w:val="000000"/>
                <w:sz w:val="26"/>
                <w:szCs w:val="26"/>
                <w:lang w:eastAsia="pt-BR"/>
              </w:rPr>
              <w:t xml:space="preserve"> da Lei nº 20.922/2013</w:t>
            </w:r>
          </w:p>
        </w:tc>
      </w:tr>
      <w:tr w:rsidR="00C20C06" w14:paraId="315E1B76" w14:textId="77777777">
        <w:trPr>
          <w:tblCellSpacing w:w="4" w:type="dxa"/>
          <w:jc w:val="center"/>
        </w:trPr>
        <w:tc>
          <w:tcPr>
            <w:tcW w:w="4216" w:type="dxa"/>
            <w:tcBorders>
              <w:top w:val="outset" w:sz="6" w:space="0" w:color="auto"/>
              <w:left w:val="outset" w:sz="6" w:space="0" w:color="auto"/>
              <w:bottom w:val="outset" w:sz="6" w:space="0" w:color="auto"/>
              <w:right w:val="outset" w:sz="6" w:space="0" w:color="auto"/>
            </w:tcBorders>
            <w:vAlign w:val="center"/>
          </w:tcPr>
          <w:p w14:paraId="786CA263"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b/>
                <w:bCs/>
                <w:color w:val="000000"/>
                <w:sz w:val="26"/>
                <w:szCs w:val="26"/>
                <w:lang w:eastAsia="pt-BR"/>
              </w:rPr>
              <w:t>Localização do empreendimento </w:t>
            </w:r>
          </w:p>
        </w:tc>
        <w:tc>
          <w:tcPr>
            <w:tcW w:w="3938" w:type="dxa"/>
            <w:tcBorders>
              <w:top w:val="outset" w:sz="6" w:space="0" w:color="auto"/>
              <w:left w:val="outset" w:sz="6" w:space="0" w:color="auto"/>
              <w:bottom w:val="outset" w:sz="6" w:space="0" w:color="auto"/>
              <w:right w:val="outset" w:sz="6" w:space="0" w:color="auto"/>
            </w:tcBorders>
            <w:vAlign w:val="center"/>
          </w:tcPr>
          <w:p w14:paraId="7A9E98F0"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color w:val="000000"/>
                <w:sz w:val="26"/>
                <w:szCs w:val="26"/>
                <w:lang w:eastAsia="pt-BR"/>
              </w:rPr>
              <w:t>Luminárias</w:t>
            </w:r>
          </w:p>
        </w:tc>
      </w:tr>
      <w:tr w:rsidR="00C20C06" w14:paraId="22715C83" w14:textId="77777777">
        <w:trPr>
          <w:tblCellSpacing w:w="4" w:type="dxa"/>
          <w:jc w:val="center"/>
        </w:trPr>
        <w:tc>
          <w:tcPr>
            <w:tcW w:w="4216" w:type="dxa"/>
            <w:tcBorders>
              <w:top w:val="outset" w:sz="6" w:space="0" w:color="auto"/>
              <w:left w:val="outset" w:sz="6" w:space="0" w:color="auto"/>
              <w:bottom w:val="outset" w:sz="6" w:space="0" w:color="auto"/>
              <w:right w:val="outset" w:sz="6" w:space="0" w:color="auto"/>
            </w:tcBorders>
            <w:vAlign w:val="center"/>
          </w:tcPr>
          <w:p w14:paraId="0250437B"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b/>
                <w:bCs/>
                <w:color w:val="000000"/>
                <w:sz w:val="26"/>
                <w:szCs w:val="26"/>
                <w:lang w:eastAsia="pt-BR"/>
              </w:rPr>
              <w:t>Bacia hidrográfica do empreendimento</w:t>
            </w:r>
          </w:p>
        </w:tc>
        <w:tc>
          <w:tcPr>
            <w:tcW w:w="3938" w:type="dxa"/>
            <w:tcBorders>
              <w:top w:val="outset" w:sz="6" w:space="0" w:color="auto"/>
              <w:left w:val="outset" w:sz="6" w:space="0" w:color="auto"/>
              <w:bottom w:val="outset" w:sz="6" w:space="0" w:color="auto"/>
              <w:right w:val="outset" w:sz="6" w:space="0" w:color="auto"/>
            </w:tcBorders>
            <w:vAlign w:val="center"/>
          </w:tcPr>
          <w:p w14:paraId="5C396F58"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color w:val="000000"/>
                <w:sz w:val="26"/>
                <w:szCs w:val="26"/>
                <w:lang w:eastAsia="pt-BR"/>
              </w:rPr>
              <w:t> Rio Grande</w:t>
            </w:r>
          </w:p>
        </w:tc>
      </w:tr>
      <w:tr w:rsidR="00C20C06" w14:paraId="1E992D78" w14:textId="77777777">
        <w:trPr>
          <w:tblCellSpacing w:w="4" w:type="dxa"/>
          <w:jc w:val="center"/>
        </w:trPr>
        <w:tc>
          <w:tcPr>
            <w:tcW w:w="4216" w:type="dxa"/>
            <w:tcBorders>
              <w:top w:val="outset" w:sz="6" w:space="0" w:color="auto"/>
              <w:left w:val="outset" w:sz="6" w:space="0" w:color="auto"/>
              <w:bottom w:val="outset" w:sz="6" w:space="0" w:color="auto"/>
              <w:right w:val="outset" w:sz="6" w:space="0" w:color="auto"/>
            </w:tcBorders>
            <w:vAlign w:val="center"/>
          </w:tcPr>
          <w:p w14:paraId="71F6DA63"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b/>
                <w:bCs/>
                <w:color w:val="000000"/>
                <w:sz w:val="26"/>
                <w:szCs w:val="26"/>
                <w:lang w:eastAsia="pt-BR"/>
              </w:rPr>
              <w:t>Sub-bacia hidrográfica do empreendimento</w:t>
            </w:r>
          </w:p>
        </w:tc>
        <w:tc>
          <w:tcPr>
            <w:tcW w:w="3938" w:type="dxa"/>
            <w:tcBorders>
              <w:top w:val="outset" w:sz="6" w:space="0" w:color="auto"/>
              <w:left w:val="outset" w:sz="6" w:space="0" w:color="auto"/>
              <w:bottom w:val="outset" w:sz="6" w:space="0" w:color="auto"/>
              <w:right w:val="outset" w:sz="6" w:space="0" w:color="auto"/>
            </w:tcBorders>
            <w:vAlign w:val="center"/>
          </w:tcPr>
          <w:p w14:paraId="26250F23" w14:textId="77777777" w:rsidR="00C20C06" w:rsidRDefault="006D74F8">
            <w:pPr>
              <w:spacing w:after="0" w:line="240" w:lineRule="auto"/>
              <w:rPr>
                <w:rFonts w:ascii="Arial" w:hAnsi="Arial" w:cs="Arial"/>
                <w:color w:val="4D4D4D"/>
              </w:rPr>
            </w:pPr>
            <w:r>
              <w:rPr>
                <w:rFonts w:eastAsia="Times New Roman" w:cstheme="minorHAnsi"/>
                <w:color w:val="000000"/>
                <w:sz w:val="26"/>
                <w:szCs w:val="26"/>
                <w:lang w:eastAsia="pt-BR"/>
              </w:rPr>
              <w:t>Bacia Hidrográfica dos Afluentes Mineiros do Alto Rio Grande (GD1)</w:t>
            </w:r>
          </w:p>
          <w:p w14:paraId="76C27F43" w14:textId="77777777" w:rsidR="00C20C06" w:rsidRDefault="00C20C06">
            <w:pPr>
              <w:spacing w:after="0" w:line="240" w:lineRule="auto"/>
              <w:rPr>
                <w:rFonts w:eastAsia="Times New Roman" w:cstheme="minorHAnsi"/>
                <w:color w:val="000000"/>
                <w:sz w:val="26"/>
                <w:szCs w:val="26"/>
                <w:lang w:eastAsia="pt-BR"/>
              </w:rPr>
            </w:pPr>
          </w:p>
        </w:tc>
      </w:tr>
      <w:tr w:rsidR="00C20C06" w14:paraId="01913B0C" w14:textId="77777777">
        <w:trPr>
          <w:tblCellSpacing w:w="4" w:type="dxa"/>
          <w:jc w:val="center"/>
        </w:trPr>
        <w:tc>
          <w:tcPr>
            <w:tcW w:w="4216" w:type="dxa"/>
            <w:tcBorders>
              <w:top w:val="outset" w:sz="6" w:space="0" w:color="auto"/>
              <w:left w:val="outset" w:sz="6" w:space="0" w:color="auto"/>
              <w:bottom w:val="outset" w:sz="6" w:space="0" w:color="auto"/>
              <w:right w:val="outset" w:sz="6" w:space="0" w:color="auto"/>
            </w:tcBorders>
            <w:vAlign w:val="center"/>
          </w:tcPr>
          <w:p w14:paraId="75721F72"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b/>
                <w:bCs/>
                <w:color w:val="000000"/>
                <w:sz w:val="26"/>
                <w:szCs w:val="26"/>
                <w:lang w:eastAsia="pt-BR"/>
              </w:rPr>
              <w:t>Área intervinda / Área Diretamente Afetada (hectares)</w:t>
            </w:r>
          </w:p>
        </w:tc>
        <w:tc>
          <w:tcPr>
            <w:tcW w:w="3938" w:type="dxa"/>
            <w:tcBorders>
              <w:top w:val="outset" w:sz="6" w:space="0" w:color="auto"/>
              <w:left w:val="outset" w:sz="6" w:space="0" w:color="auto"/>
              <w:bottom w:val="outset" w:sz="6" w:space="0" w:color="auto"/>
              <w:right w:val="outset" w:sz="6" w:space="0" w:color="auto"/>
            </w:tcBorders>
            <w:vAlign w:val="center"/>
          </w:tcPr>
          <w:p w14:paraId="362D43DD"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color w:val="000000"/>
                <w:sz w:val="26"/>
                <w:szCs w:val="26"/>
                <w:lang w:eastAsia="pt-BR"/>
              </w:rPr>
              <w:t> 17,2975</w:t>
            </w:r>
          </w:p>
        </w:tc>
      </w:tr>
      <w:tr w:rsidR="00C20C06" w14:paraId="2750DC59" w14:textId="77777777">
        <w:trPr>
          <w:tblCellSpacing w:w="4" w:type="dxa"/>
          <w:jc w:val="center"/>
        </w:trPr>
        <w:tc>
          <w:tcPr>
            <w:tcW w:w="4216" w:type="dxa"/>
            <w:tcBorders>
              <w:top w:val="outset" w:sz="6" w:space="0" w:color="auto"/>
              <w:left w:val="outset" w:sz="6" w:space="0" w:color="auto"/>
              <w:bottom w:val="outset" w:sz="6" w:space="0" w:color="auto"/>
              <w:right w:val="outset" w:sz="6" w:space="0" w:color="auto"/>
            </w:tcBorders>
            <w:vAlign w:val="center"/>
          </w:tcPr>
          <w:p w14:paraId="3B92F2F5"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b/>
                <w:bCs/>
                <w:color w:val="000000"/>
                <w:sz w:val="26"/>
                <w:szCs w:val="26"/>
                <w:lang w:eastAsia="pt-BR"/>
              </w:rPr>
              <w:t>Equipe ou empresa responsável pela elaboração do PECFM</w:t>
            </w:r>
          </w:p>
        </w:tc>
        <w:tc>
          <w:tcPr>
            <w:tcW w:w="3938" w:type="dxa"/>
            <w:tcBorders>
              <w:top w:val="outset" w:sz="6" w:space="0" w:color="auto"/>
              <w:left w:val="outset" w:sz="6" w:space="0" w:color="auto"/>
              <w:bottom w:val="outset" w:sz="6" w:space="0" w:color="auto"/>
              <w:right w:val="outset" w:sz="6" w:space="0" w:color="auto"/>
            </w:tcBorders>
            <w:vAlign w:val="center"/>
          </w:tcPr>
          <w:p w14:paraId="0F7F724E"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color w:val="000000"/>
                <w:sz w:val="26"/>
                <w:szCs w:val="26"/>
                <w:lang w:eastAsia="pt-BR"/>
              </w:rPr>
              <w:t xml:space="preserve">Projetar-Serviços Ambientais e Construção Civil - Grupo Projetar. </w:t>
            </w:r>
            <w:r>
              <w:rPr>
                <w:rFonts w:eastAsia="Times New Roman" w:cstheme="minorHAnsi"/>
                <w:color w:val="000000"/>
                <w:sz w:val="26"/>
                <w:szCs w:val="26"/>
                <w:lang w:eastAsia="pt-BR"/>
              </w:rPr>
              <w:lastRenderedPageBreak/>
              <w:t>Ricardo Barros Pereira.</w:t>
            </w:r>
          </w:p>
        </w:tc>
      </w:tr>
      <w:tr w:rsidR="00C20C06" w14:paraId="63FE3B18" w14:textId="77777777">
        <w:trPr>
          <w:tblCellSpacing w:w="4" w:type="dxa"/>
          <w:jc w:val="center"/>
        </w:trPr>
        <w:tc>
          <w:tcPr>
            <w:tcW w:w="4216" w:type="dxa"/>
            <w:tcBorders>
              <w:top w:val="outset" w:sz="6" w:space="0" w:color="auto"/>
              <w:left w:val="outset" w:sz="6" w:space="0" w:color="auto"/>
              <w:bottom w:val="outset" w:sz="6" w:space="0" w:color="auto"/>
              <w:right w:val="outset" w:sz="6" w:space="0" w:color="auto"/>
            </w:tcBorders>
            <w:vAlign w:val="center"/>
          </w:tcPr>
          <w:p w14:paraId="64221D25"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b/>
                <w:bCs/>
                <w:color w:val="000000"/>
                <w:sz w:val="26"/>
                <w:szCs w:val="26"/>
                <w:lang w:eastAsia="pt-BR"/>
              </w:rPr>
              <w:lastRenderedPageBreak/>
              <w:t>Modalidade da proposta</w:t>
            </w:r>
          </w:p>
        </w:tc>
        <w:tc>
          <w:tcPr>
            <w:tcW w:w="3938" w:type="dxa"/>
            <w:tcBorders>
              <w:top w:val="outset" w:sz="6" w:space="0" w:color="auto"/>
              <w:left w:val="outset" w:sz="6" w:space="0" w:color="auto"/>
              <w:bottom w:val="outset" w:sz="6" w:space="0" w:color="auto"/>
              <w:right w:val="outset" w:sz="6" w:space="0" w:color="auto"/>
            </w:tcBorders>
            <w:vAlign w:val="center"/>
          </w:tcPr>
          <w:p w14:paraId="0BC4F3FA" w14:textId="77777777" w:rsidR="00C20C06" w:rsidRDefault="006D74F8">
            <w:pPr>
              <w:spacing w:after="0" w:line="240" w:lineRule="auto"/>
              <w:rPr>
                <w:rFonts w:eastAsia="Times New Roman" w:cstheme="minorHAnsi"/>
                <w:color w:val="000000"/>
                <w:sz w:val="26"/>
                <w:szCs w:val="26"/>
                <w:lang w:eastAsia="pt-BR"/>
              </w:rPr>
            </w:pPr>
            <w:proofErr w:type="gramStart"/>
            <w:r>
              <w:rPr>
                <w:rFonts w:eastAsia="Times New Roman" w:cstheme="minorHAnsi"/>
                <w:color w:val="000000"/>
                <w:sz w:val="26"/>
                <w:szCs w:val="26"/>
                <w:lang w:eastAsia="pt-BR"/>
              </w:rPr>
              <w:t>(  )</w:t>
            </w:r>
            <w:proofErr w:type="gramEnd"/>
            <w:r>
              <w:rPr>
                <w:rFonts w:eastAsia="Times New Roman" w:cstheme="minorHAnsi"/>
                <w:color w:val="000000"/>
                <w:sz w:val="26"/>
                <w:szCs w:val="26"/>
                <w:lang w:eastAsia="pt-BR"/>
              </w:rPr>
              <w:t xml:space="preserve"> Implantação/manutenção</w:t>
            </w:r>
          </w:p>
          <w:p w14:paraId="1DD08800" w14:textId="77777777" w:rsidR="00C20C06" w:rsidRDefault="006D74F8">
            <w:pPr>
              <w:spacing w:after="0" w:line="240" w:lineRule="auto"/>
              <w:rPr>
                <w:rFonts w:eastAsia="Times New Roman" w:cstheme="minorHAnsi"/>
                <w:color w:val="000000"/>
                <w:sz w:val="26"/>
                <w:szCs w:val="26"/>
                <w:lang w:eastAsia="pt-BR"/>
              </w:rPr>
            </w:pPr>
            <w:proofErr w:type="gramStart"/>
            <w:r>
              <w:rPr>
                <w:rFonts w:eastAsia="Times New Roman" w:cstheme="minorHAnsi"/>
                <w:color w:val="000000"/>
                <w:sz w:val="26"/>
                <w:szCs w:val="26"/>
                <w:lang w:eastAsia="pt-BR"/>
              </w:rPr>
              <w:t>( X</w:t>
            </w:r>
            <w:proofErr w:type="gramEnd"/>
            <w:r>
              <w:rPr>
                <w:rFonts w:eastAsia="Times New Roman" w:cstheme="minorHAnsi"/>
                <w:color w:val="000000"/>
                <w:sz w:val="26"/>
                <w:szCs w:val="26"/>
                <w:lang w:eastAsia="pt-BR"/>
              </w:rPr>
              <w:t xml:space="preserve"> ) Regularização fundiária</w:t>
            </w:r>
          </w:p>
        </w:tc>
      </w:tr>
    </w:tbl>
    <w:p w14:paraId="2B2DF26B" w14:textId="77777777" w:rsidR="00C20C06" w:rsidRDefault="00C20C06">
      <w:pPr>
        <w:spacing w:before="120" w:after="120" w:line="240" w:lineRule="auto"/>
        <w:ind w:right="120"/>
        <w:jc w:val="both"/>
        <w:rPr>
          <w:rFonts w:eastAsia="Times New Roman" w:cstheme="minorHAnsi"/>
          <w:color w:val="000000"/>
          <w:sz w:val="26"/>
          <w:szCs w:val="26"/>
          <w:lang w:eastAsia="pt-BR"/>
        </w:rPr>
      </w:pPr>
    </w:p>
    <w:tbl>
      <w:tblPr>
        <w:tblW w:w="0" w:type="auto"/>
        <w:jc w:val="center"/>
        <w:tblCellSpacing w:w="4" w:type="dxa"/>
        <w:tblBorders>
          <w:top w:val="outset" w:sz="6" w:space="0" w:color="auto"/>
          <w:left w:val="outset" w:sz="6" w:space="0" w:color="auto"/>
          <w:bottom w:val="outset" w:sz="6" w:space="0" w:color="auto"/>
          <w:right w:val="outset" w:sz="6" w:space="0" w:color="auto"/>
        </w:tblBorders>
        <w:tblCellMar>
          <w:top w:w="9" w:type="dxa"/>
          <w:left w:w="9" w:type="dxa"/>
          <w:bottom w:w="9" w:type="dxa"/>
          <w:right w:w="9" w:type="dxa"/>
        </w:tblCellMar>
        <w:tblLook w:val="04A0" w:firstRow="1" w:lastRow="0" w:firstColumn="1" w:lastColumn="0" w:noHBand="0" w:noVBand="1"/>
      </w:tblPr>
      <w:tblGrid>
        <w:gridCol w:w="4142"/>
        <w:gridCol w:w="3957"/>
      </w:tblGrid>
      <w:tr w:rsidR="00C20C06" w14:paraId="0939D905" w14:textId="77777777">
        <w:trPr>
          <w:tblCellSpacing w:w="4" w:type="dxa"/>
          <w:jc w:val="center"/>
        </w:trPr>
        <w:tc>
          <w:tcPr>
            <w:tcW w:w="4130" w:type="dxa"/>
            <w:tcBorders>
              <w:top w:val="outset" w:sz="6" w:space="0" w:color="auto"/>
              <w:left w:val="outset" w:sz="6" w:space="0" w:color="auto"/>
              <w:bottom w:val="outset" w:sz="6" w:space="0" w:color="auto"/>
              <w:right w:val="outset" w:sz="6" w:space="0" w:color="auto"/>
            </w:tcBorders>
            <w:vAlign w:val="center"/>
          </w:tcPr>
          <w:p w14:paraId="1CB9BF86"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b/>
                <w:bCs/>
                <w:color w:val="000000"/>
                <w:sz w:val="26"/>
                <w:szCs w:val="26"/>
                <w:lang w:eastAsia="pt-BR"/>
              </w:rPr>
              <w:t>Localização da área proposta</w:t>
            </w:r>
          </w:p>
        </w:tc>
        <w:tc>
          <w:tcPr>
            <w:tcW w:w="3945" w:type="dxa"/>
            <w:tcBorders>
              <w:top w:val="outset" w:sz="6" w:space="0" w:color="auto"/>
              <w:left w:val="outset" w:sz="6" w:space="0" w:color="auto"/>
              <w:bottom w:val="outset" w:sz="6" w:space="0" w:color="auto"/>
              <w:right w:val="outset" w:sz="6" w:space="0" w:color="auto"/>
            </w:tcBorders>
            <w:vAlign w:val="center"/>
          </w:tcPr>
          <w:p w14:paraId="1CF54A8E"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color w:val="000000"/>
                <w:sz w:val="26"/>
                <w:szCs w:val="26"/>
                <w:lang w:eastAsia="pt-BR"/>
              </w:rPr>
              <w:t>Parque Estadual Serra do Papagaio - PESP</w:t>
            </w:r>
          </w:p>
        </w:tc>
      </w:tr>
      <w:tr w:rsidR="00C20C06" w14:paraId="7B1A21F6" w14:textId="77777777">
        <w:trPr>
          <w:tblCellSpacing w:w="4" w:type="dxa"/>
          <w:jc w:val="center"/>
        </w:trPr>
        <w:tc>
          <w:tcPr>
            <w:tcW w:w="4130" w:type="dxa"/>
            <w:tcBorders>
              <w:top w:val="outset" w:sz="6" w:space="0" w:color="auto"/>
              <w:left w:val="outset" w:sz="6" w:space="0" w:color="auto"/>
              <w:bottom w:val="outset" w:sz="6" w:space="0" w:color="auto"/>
              <w:right w:val="outset" w:sz="6" w:space="0" w:color="auto"/>
            </w:tcBorders>
            <w:vAlign w:val="center"/>
          </w:tcPr>
          <w:p w14:paraId="0B474779"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b/>
                <w:bCs/>
                <w:color w:val="000000"/>
                <w:sz w:val="26"/>
                <w:szCs w:val="26"/>
                <w:lang w:eastAsia="pt-BR"/>
              </w:rPr>
              <w:t>Municípios das áreas propostas</w:t>
            </w:r>
          </w:p>
        </w:tc>
        <w:tc>
          <w:tcPr>
            <w:tcW w:w="3945" w:type="dxa"/>
            <w:tcBorders>
              <w:top w:val="outset" w:sz="6" w:space="0" w:color="auto"/>
              <w:left w:val="outset" w:sz="6" w:space="0" w:color="auto"/>
              <w:bottom w:val="outset" w:sz="6" w:space="0" w:color="auto"/>
              <w:right w:val="outset" w:sz="6" w:space="0" w:color="auto"/>
            </w:tcBorders>
            <w:vAlign w:val="center"/>
          </w:tcPr>
          <w:p w14:paraId="488D9857"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color w:val="000000"/>
                <w:sz w:val="26"/>
                <w:szCs w:val="26"/>
                <w:lang w:eastAsia="pt-BR"/>
              </w:rPr>
              <w:t> </w:t>
            </w:r>
            <w:proofErr w:type="spellStart"/>
            <w:r>
              <w:rPr>
                <w:rFonts w:eastAsia="Times New Roman" w:cstheme="minorHAnsi"/>
                <w:color w:val="000000"/>
                <w:sz w:val="26"/>
                <w:szCs w:val="26"/>
                <w:lang w:eastAsia="pt-BR"/>
              </w:rPr>
              <w:t>Itamonte</w:t>
            </w:r>
            <w:proofErr w:type="spellEnd"/>
            <w:r>
              <w:rPr>
                <w:rFonts w:eastAsia="Times New Roman" w:cstheme="minorHAnsi"/>
                <w:color w:val="000000"/>
                <w:sz w:val="26"/>
                <w:szCs w:val="26"/>
                <w:lang w:eastAsia="pt-BR"/>
              </w:rPr>
              <w:t xml:space="preserve"> e Baependi</w:t>
            </w:r>
          </w:p>
        </w:tc>
      </w:tr>
      <w:tr w:rsidR="00C20C06" w14:paraId="3908F657" w14:textId="77777777">
        <w:trPr>
          <w:tblCellSpacing w:w="4" w:type="dxa"/>
          <w:jc w:val="center"/>
        </w:trPr>
        <w:tc>
          <w:tcPr>
            <w:tcW w:w="4130" w:type="dxa"/>
            <w:tcBorders>
              <w:top w:val="outset" w:sz="6" w:space="0" w:color="auto"/>
              <w:left w:val="outset" w:sz="6" w:space="0" w:color="auto"/>
              <w:bottom w:val="outset" w:sz="6" w:space="0" w:color="auto"/>
              <w:right w:val="outset" w:sz="6" w:space="0" w:color="auto"/>
            </w:tcBorders>
            <w:vAlign w:val="center"/>
          </w:tcPr>
          <w:p w14:paraId="3495CAD6"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b/>
                <w:bCs/>
                <w:color w:val="000000"/>
                <w:sz w:val="26"/>
                <w:szCs w:val="26"/>
                <w:lang w:eastAsia="pt-BR"/>
              </w:rPr>
              <w:t>Área proposta (hectares)</w:t>
            </w:r>
          </w:p>
        </w:tc>
        <w:tc>
          <w:tcPr>
            <w:tcW w:w="3945" w:type="dxa"/>
            <w:tcBorders>
              <w:top w:val="outset" w:sz="6" w:space="0" w:color="auto"/>
              <w:left w:val="outset" w:sz="6" w:space="0" w:color="auto"/>
              <w:bottom w:val="outset" w:sz="6" w:space="0" w:color="auto"/>
              <w:right w:val="outset" w:sz="6" w:space="0" w:color="auto"/>
            </w:tcBorders>
            <w:vAlign w:val="center"/>
          </w:tcPr>
          <w:p w14:paraId="71933FF1"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color w:val="000000"/>
                <w:sz w:val="26"/>
                <w:szCs w:val="26"/>
                <w:lang w:eastAsia="pt-BR"/>
              </w:rPr>
              <w:t>17,4591 (6,1920 + 11,2671)</w:t>
            </w:r>
          </w:p>
        </w:tc>
      </w:tr>
      <w:tr w:rsidR="00C20C06" w14:paraId="5C947B2F" w14:textId="77777777">
        <w:trPr>
          <w:tblCellSpacing w:w="4" w:type="dxa"/>
          <w:jc w:val="center"/>
        </w:trPr>
        <w:tc>
          <w:tcPr>
            <w:tcW w:w="4130" w:type="dxa"/>
            <w:tcBorders>
              <w:top w:val="outset" w:sz="6" w:space="0" w:color="auto"/>
              <w:left w:val="outset" w:sz="6" w:space="0" w:color="auto"/>
              <w:bottom w:val="outset" w:sz="6" w:space="0" w:color="auto"/>
              <w:right w:val="outset" w:sz="6" w:space="0" w:color="auto"/>
            </w:tcBorders>
            <w:vAlign w:val="center"/>
          </w:tcPr>
          <w:p w14:paraId="27DF2FC3"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b/>
                <w:bCs/>
                <w:color w:val="000000"/>
                <w:sz w:val="26"/>
                <w:szCs w:val="26"/>
                <w:lang w:eastAsia="pt-BR"/>
              </w:rPr>
              <w:t>Número das matrículas dos imóveis a serem doados</w:t>
            </w:r>
          </w:p>
        </w:tc>
        <w:tc>
          <w:tcPr>
            <w:tcW w:w="3945" w:type="dxa"/>
            <w:tcBorders>
              <w:top w:val="outset" w:sz="6" w:space="0" w:color="auto"/>
              <w:left w:val="outset" w:sz="6" w:space="0" w:color="auto"/>
              <w:bottom w:val="outset" w:sz="6" w:space="0" w:color="auto"/>
              <w:right w:val="outset" w:sz="6" w:space="0" w:color="auto"/>
            </w:tcBorders>
            <w:vAlign w:val="center"/>
          </w:tcPr>
          <w:p w14:paraId="3838229C" w14:textId="77777777" w:rsidR="00C20C06" w:rsidRDefault="006D74F8">
            <w:pPr>
              <w:spacing w:after="0" w:line="240" w:lineRule="auto"/>
              <w:rPr>
                <w:rFonts w:eastAsia="Times New Roman" w:cstheme="minorHAnsi"/>
                <w:sz w:val="26"/>
                <w:szCs w:val="26"/>
                <w:lang w:eastAsia="pt-BR"/>
              </w:rPr>
            </w:pPr>
            <w:r>
              <w:rPr>
                <w:rFonts w:eastAsia="Times New Roman" w:cstheme="minorHAnsi"/>
                <w:color w:val="000000"/>
                <w:sz w:val="26"/>
                <w:szCs w:val="26"/>
                <w:lang w:eastAsia="pt-BR"/>
              </w:rPr>
              <w:t>9.193 e 21.734 respectivamente.</w:t>
            </w:r>
          </w:p>
        </w:tc>
      </w:tr>
      <w:tr w:rsidR="00C20C06" w14:paraId="6A51959F" w14:textId="77777777">
        <w:trPr>
          <w:tblCellSpacing w:w="4" w:type="dxa"/>
          <w:jc w:val="center"/>
        </w:trPr>
        <w:tc>
          <w:tcPr>
            <w:tcW w:w="4130" w:type="dxa"/>
            <w:tcBorders>
              <w:top w:val="outset" w:sz="6" w:space="0" w:color="auto"/>
              <w:left w:val="outset" w:sz="6" w:space="0" w:color="auto"/>
              <w:bottom w:val="outset" w:sz="6" w:space="0" w:color="auto"/>
              <w:right w:val="outset" w:sz="6" w:space="0" w:color="auto"/>
            </w:tcBorders>
            <w:vAlign w:val="center"/>
          </w:tcPr>
          <w:p w14:paraId="4746A2F9" w14:textId="77777777" w:rsidR="00C20C06" w:rsidRDefault="006D74F8">
            <w:pPr>
              <w:spacing w:after="0" w:line="240" w:lineRule="auto"/>
              <w:rPr>
                <w:rFonts w:eastAsia="Times New Roman" w:cstheme="minorHAnsi"/>
                <w:color w:val="000000"/>
                <w:sz w:val="26"/>
                <w:szCs w:val="26"/>
                <w:lang w:eastAsia="pt-BR"/>
              </w:rPr>
            </w:pPr>
            <w:r>
              <w:rPr>
                <w:rFonts w:eastAsia="Times New Roman" w:cstheme="minorHAnsi"/>
                <w:b/>
                <w:bCs/>
                <w:color w:val="000000"/>
                <w:sz w:val="26"/>
                <w:szCs w:val="26"/>
                <w:lang w:eastAsia="pt-BR"/>
              </w:rPr>
              <w:t>Nome dos proprietários dos imóveis a serem doados</w:t>
            </w:r>
          </w:p>
        </w:tc>
        <w:tc>
          <w:tcPr>
            <w:tcW w:w="3945" w:type="dxa"/>
            <w:tcBorders>
              <w:top w:val="outset" w:sz="6" w:space="0" w:color="auto"/>
              <w:left w:val="outset" w:sz="6" w:space="0" w:color="auto"/>
              <w:bottom w:val="outset" w:sz="6" w:space="0" w:color="auto"/>
              <w:right w:val="outset" w:sz="6" w:space="0" w:color="auto"/>
            </w:tcBorders>
            <w:vAlign w:val="center"/>
          </w:tcPr>
          <w:p w14:paraId="7BE70FAF" w14:textId="77777777" w:rsidR="00C20C06" w:rsidRDefault="006D74F8">
            <w:pPr>
              <w:spacing w:after="0" w:line="240" w:lineRule="auto"/>
              <w:rPr>
                <w:rFonts w:eastAsia="Times New Roman" w:cstheme="minorHAnsi"/>
                <w:sz w:val="26"/>
                <w:szCs w:val="26"/>
                <w:lang w:eastAsia="pt-BR"/>
              </w:rPr>
            </w:pPr>
            <w:r>
              <w:rPr>
                <w:rFonts w:eastAsia="Times New Roman" w:cstheme="minorHAnsi"/>
                <w:color w:val="000000"/>
                <w:sz w:val="26"/>
                <w:szCs w:val="26"/>
                <w:lang w:eastAsia="pt-BR"/>
              </w:rPr>
              <w:t>Mosaico São Tomé Ltda ME e Olímpio Ferreira de Andrade e Cia Ltda ME, e Adilson José dos Santos Carvalhal e outros.</w:t>
            </w:r>
          </w:p>
        </w:tc>
      </w:tr>
    </w:tbl>
    <w:p w14:paraId="56E5E813" w14:textId="77777777" w:rsidR="00C20C06" w:rsidRDefault="006D74F8">
      <w:pPr>
        <w:spacing w:before="120" w:after="120" w:line="240" w:lineRule="auto"/>
        <w:ind w:left="120" w:right="120" w:firstLine="1418"/>
        <w:jc w:val="both"/>
        <w:rPr>
          <w:rFonts w:eastAsia="Times New Roman" w:cstheme="minorHAnsi"/>
          <w:color w:val="000000"/>
          <w:sz w:val="26"/>
          <w:szCs w:val="26"/>
          <w:lang w:eastAsia="pt-BR"/>
        </w:rPr>
      </w:pPr>
      <w:r>
        <w:rPr>
          <w:rFonts w:eastAsia="Times New Roman" w:cstheme="minorHAnsi"/>
          <w:color w:val="000000"/>
          <w:sz w:val="26"/>
          <w:szCs w:val="26"/>
          <w:lang w:eastAsia="pt-BR"/>
        </w:rPr>
        <w:t> </w:t>
      </w:r>
    </w:p>
    <w:p w14:paraId="4D050FA5" w14:textId="77777777" w:rsidR="00C20C06" w:rsidRDefault="006D74F8">
      <w:pPr>
        <w:shd w:val="clear" w:color="auto" w:fill="E6E6E6"/>
        <w:spacing w:before="120" w:after="120" w:line="240" w:lineRule="auto"/>
        <w:ind w:left="120" w:right="120"/>
        <w:jc w:val="both"/>
        <w:rPr>
          <w:rFonts w:eastAsia="Times New Roman" w:cstheme="minorHAnsi"/>
          <w:color w:val="000000"/>
          <w:sz w:val="26"/>
          <w:szCs w:val="26"/>
          <w:lang w:eastAsia="pt-BR"/>
        </w:rPr>
      </w:pPr>
      <w:r>
        <w:rPr>
          <w:rFonts w:eastAsia="Times New Roman" w:cstheme="minorHAnsi"/>
          <w:b/>
          <w:bCs/>
          <w:caps/>
          <w:color w:val="000000"/>
          <w:sz w:val="26"/>
          <w:szCs w:val="26"/>
          <w:lang w:eastAsia="pt-BR"/>
        </w:rPr>
        <w:t>2 - INTRODUÇÃO</w:t>
      </w:r>
    </w:p>
    <w:p w14:paraId="5636189D"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O empreendimento </w:t>
      </w:r>
      <w:r>
        <w:rPr>
          <w:rFonts w:eastAsia="Times New Roman" w:cstheme="minorHAnsi"/>
          <w:b/>
          <w:color w:val="000000"/>
          <w:sz w:val="26"/>
          <w:szCs w:val="26"/>
          <w:lang w:eastAsia="pt-BR"/>
        </w:rPr>
        <w:t xml:space="preserve">Olímpio Ferreira de Andrade e Cia Ltda - ME </w:t>
      </w:r>
      <w:r>
        <w:rPr>
          <w:rFonts w:eastAsia="Times New Roman" w:cstheme="minorHAnsi"/>
          <w:color w:val="000000"/>
          <w:sz w:val="26"/>
          <w:szCs w:val="26"/>
          <w:lang w:eastAsia="pt-BR"/>
        </w:rPr>
        <w:t xml:space="preserve">apresentou proposta de compensação minerária, nos termos do Art. 75 da Lei nº 20.922/2013, Portaria IEF n° 27/2017, </w:t>
      </w:r>
      <w:r>
        <w:rPr>
          <w:rFonts w:eastAsia="Times New Roman" w:cstheme="minorHAnsi"/>
          <w:b/>
          <w:color w:val="000000"/>
          <w:sz w:val="26"/>
          <w:szCs w:val="26"/>
          <w:lang w:eastAsia="pt-BR"/>
        </w:rPr>
        <w:t>para a área do DNPM número 831.924/1989.</w:t>
      </w:r>
    </w:p>
    <w:p w14:paraId="745B198C"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A Compensação Ambiental Florestal Minerária, prevista no Art. 75 da Lei nº 20.922/2013, cabe a todo empreendimento minerário que dependa de supressão de vegetação nativa, estando condicionado à adoção, pelo empreendedor, de medida compensatória florestal que inclua a regularização fundiária e a implantação de Unidade de Conservação (UC) de Proteção Integral, independentemente das demais compensações previstas em lei. </w:t>
      </w:r>
    </w:p>
    <w:p w14:paraId="65EFF9E2"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O §1º do Art. 75 se aplica aos empreendimentos cujos processos de regularização ambiental foram formalizados após a publicação da Lei nº 20.922/2013, para os quais “A área utilizada como medida compensatória nos termos do caput não será inferior àquela que tiver vegetação nativa suprimida pelo empreendimento para extração do bem mineral, construção de estradas, construções diversas, beneficiamento ou estocagem, embarque e outras finalidades”.</w:t>
      </w:r>
    </w:p>
    <w:p w14:paraId="42522DD7"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Já o §2º do mesmo artigo, se aplica aos empreendimentos cujos processos de regularização ambiental foram formalizados em período anterior à publicação da referida Lei (17/10/2013), para as quais “O empreendimento minerário em processo de regularização ambiental ou já regularizado que ainda não tenha cumprido, até a data de publicação desta Lei, a medida compensatória instituída pelo art. 36 da Lei nº 14.309, de 19 de junho de 2002, continuará </w:t>
      </w:r>
      <w:r>
        <w:rPr>
          <w:rFonts w:eastAsia="Times New Roman" w:cstheme="minorHAnsi"/>
          <w:color w:val="000000"/>
          <w:sz w:val="26"/>
          <w:szCs w:val="26"/>
          <w:lang w:eastAsia="pt-BR"/>
        </w:rPr>
        <w:lastRenderedPageBreak/>
        <w:t>sujeito ao cumprimento das obrigações estabelecidas no artigo citado”. Nesse sentido, segundo os §§ 1º e 2º do Art. 36 da Lei nº 14.309/2002, a área utilizada para compensação não poderá ser inferior àquela utilizada pelo empreendimento para extração do bem mineral, construção de estradas, construções diversas, beneficiamento ou estocagem, embarque e outras finalidades e a compensação deverá ser feita, obrigatoriamente, na bacia hidrográfica e, preferencialmente, no município onde está instalado o empreendimento.</w:t>
      </w:r>
    </w:p>
    <w:p w14:paraId="65B569AB"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Para aplicação do disposto nos §§ 1º e 2º do Art. 75 da Lei nº 20.922/2013, é considerada a data de formalização da primeira licença do empreendimento minerário, ou seja, da data de apresentação, pelo empreendedor, do respectivo requerimento de licença prévia acompanhado de todos os documentos, projetos e estudos ambientais exigidos pelo órgão ambiental competente.</w:t>
      </w:r>
    </w:p>
    <w:p w14:paraId="7BA3B9C8"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Dessa forma, o objetivo deste parecer é verificar o enquadramento da compensação minerária e avaliar a referida proposta alusiva ao empreendimento </w:t>
      </w:r>
      <w:r>
        <w:rPr>
          <w:rFonts w:eastAsia="Times New Roman" w:cstheme="minorHAnsi"/>
          <w:b/>
          <w:color w:val="000000"/>
          <w:sz w:val="26"/>
          <w:szCs w:val="26"/>
          <w:lang w:eastAsia="pt-BR"/>
        </w:rPr>
        <w:t xml:space="preserve">Olímpio Ferreira de Andrade e Cia Ltda - ME </w:t>
      </w:r>
      <w:r>
        <w:rPr>
          <w:rFonts w:eastAsia="Times New Roman" w:cstheme="minorHAnsi"/>
          <w:color w:val="000000"/>
          <w:sz w:val="26"/>
          <w:szCs w:val="26"/>
          <w:lang w:eastAsia="pt-BR"/>
        </w:rPr>
        <w:t>– Processo Administrativo COPAM nº </w:t>
      </w:r>
      <w:r>
        <w:rPr>
          <w:rFonts w:eastAsia="SimSun"/>
          <w:b/>
          <w:sz w:val="26"/>
          <w:szCs w:val="26"/>
        </w:rPr>
        <w:t xml:space="preserve">06425/2005/010/2019 </w:t>
      </w:r>
      <w:r>
        <w:rPr>
          <w:rFonts w:eastAsia="Times New Roman" w:cstheme="minorHAnsi"/>
          <w:b/>
          <w:color w:val="000000"/>
          <w:sz w:val="26"/>
          <w:szCs w:val="26"/>
          <w:lang w:eastAsia="pt-BR"/>
        </w:rPr>
        <w:t xml:space="preserve">para a área do DNPM número 831.924/1989, </w:t>
      </w:r>
      <w:r>
        <w:rPr>
          <w:rFonts w:eastAsia="Times New Roman" w:cstheme="minorHAnsi"/>
          <w:color w:val="000000"/>
          <w:sz w:val="26"/>
          <w:szCs w:val="26"/>
          <w:lang w:eastAsia="pt-BR"/>
        </w:rPr>
        <w:t>de modo a subsidiar a decisão da Câmara de Proteção a Biodiversidade e Áreas Protegidas – CPB COPAM no tocante ao Art. 13, inciso XIII do Decreto nº 46.953/2016, a partir da  análise do Projeto Executivo de Compensação Florestal Minerária – PECFM e demais documentos apresentado pelo empreendedor em observância a legislação pertinente, incluindo além das normas supracitadas, a Lei nº 23.558/2020, o Decreto nº 47.749/2019  e a Portaria IEF nº 77/2020.</w:t>
      </w:r>
    </w:p>
    <w:p w14:paraId="531B26BD" w14:textId="77777777" w:rsidR="00C20C06" w:rsidRDefault="006D74F8">
      <w:pPr>
        <w:spacing w:before="120" w:after="120" w:line="240" w:lineRule="auto"/>
        <w:ind w:left="120" w:right="120" w:firstLine="1418"/>
        <w:jc w:val="both"/>
        <w:rPr>
          <w:rFonts w:eastAsia="Times New Roman" w:cstheme="minorHAnsi"/>
          <w:color w:val="000000"/>
          <w:sz w:val="26"/>
          <w:szCs w:val="26"/>
          <w:lang w:eastAsia="pt-BR"/>
        </w:rPr>
      </w:pPr>
      <w:r>
        <w:rPr>
          <w:rFonts w:eastAsia="Times New Roman" w:cstheme="minorHAnsi"/>
          <w:color w:val="000000"/>
          <w:sz w:val="26"/>
          <w:szCs w:val="26"/>
          <w:lang w:eastAsia="pt-BR"/>
        </w:rPr>
        <w:t> </w:t>
      </w:r>
    </w:p>
    <w:p w14:paraId="53AA0EE1" w14:textId="77777777" w:rsidR="00C20C06" w:rsidRDefault="006D74F8">
      <w:pPr>
        <w:shd w:val="clear" w:color="auto" w:fill="E6E6E6"/>
        <w:spacing w:before="120" w:after="120" w:line="240" w:lineRule="auto"/>
        <w:ind w:left="120" w:right="120"/>
        <w:jc w:val="both"/>
        <w:rPr>
          <w:rFonts w:eastAsia="Times New Roman" w:cstheme="minorHAnsi"/>
          <w:color w:val="000000"/>
          <w:sz w:val="26"/>
          <w:szCs w:val="26"/>
          <w:lang w:eastAsia="pt-BR"/>
        </w:rPr>
      </w:pPr>
      <w:r>
        <w:rPr>
          <w:rFonts w:eastAsia="Times New Roman" w:cstheme="minorHAnsi"/>
          <w:b/>
          <w:bCs/>
          <w:caps/>
          <w:color w:val="000000"/>
          <w:sz w:val="26"/>
          <w:szCs w:val="26"/>
          <w:lang w:eastAsia="pt-BR"/>
        </w:rPr>
        <w:t>3 - HISTÓRICO DO EMPREENDIMENTO E ÁREA INTERVINDA</w:t>
      </w:r>
    </w:p>
    <w:p w14:paraId="3E09AEFF" w14:textId="77777777" w:rsidR="00C20C06" w:rsidRDefault="00C20C06">
      <w:pPr>
        <w:spacing w:before="120" w:after="120" w:line="240" w:lineRule="auto"/>
        <w:ind w:right="120"/>
        <w:jc w:val="both"/>
        <w:rPr>
          <w:rFonts w:eastAsia="Times New Roman" w:cstheme="minorHAnsi"/>
          <w:color w:val="000000"/>
          <w:sz w:val="26"/>
          <w:szCs w:val="26"/>
          <w:lang w:eastAsia="pt-BR"/>
        </w:rPr>
      </w:pPr>
    </w:p>
    <w:p w14:paraId="148B3DA3"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Conforme relatado no Parecer Único - PU nº </w:t>
      </w:r>
      <w:r>
        <w:rPr>
          <w:sz w:val="26"/>
          <w:szCs w:val="26"/>
        </w:rPr>
        <w:t>547310/2019</w:t>
      </w:r>
      <w:r>
        <w:rPr>
          <w:rFonts w:eastAsia="Times New Roman" w:cstheme="minorHAnsi"/>
          <w:color w:val="000000"/>
          <w:sz w:val="26"/>
          <w:szCs w:val="26"/>
          <w:lang w:eastAsia="pt-BR"/>
        </w:rPr>
        <w:t xml:space="preserve"> do licenciamento </w:t>
      </w:r>
      <w:proofErr w:type="gramStart"/>
      <w:r>
        <w:rPr>
          <w:rFonts w:eastAsia="Times New Roman" w:cstheme="minorHAnsi"/>
          <w:color w:val="000000"/>
          <w:sz w:val="26"/>
          <w:szCs w:val="26"/>
          <w:lang w:eastAsia="pt-BR"/>
        </w:rPr>
        <w:t>ambiental  Licença</w:t>
      </w:r>
      <w:proofErr w:type="gramEnd"/>
      <w:r>
        <w:rPr>
          <w:rFonts w:eastAsia="Times New Roman" w:cstheme="minorHAnsi"/>
          <w:color w:val="000000"/>
          <w:sz w:val="26"/>
          <w:szCs w:val="26"/>
          <w:lang w:eastAsia="pt-BR"/>
        </w:rPr>
        <w:t xml:space="preserve"> Prévia, Instalação e Operação -LAC1, o empreendimento minerário </w:t>
      </w:r>
      <w:r>
        <w:rPr>
          <w:rFonts w:eastAsia="Times New Roman" w:cstheme="minorHAnsi"/>
          <w:b/>
          <w:color w:val="000000"/>
          <w:sz w:val="26"/>
          <w:szCs w:val="26"/>
          <w:lang w:eastAsia="pt-BR"/>
        </w:rPr>
        <w:t>Olímpio Ferreira de Andrade e Cia Ltda - ME</w:t>
      </w:r>
      <w:r>
        <w:rPr>
          <w:rFonts w:eastAsia="Times New Roman" w:cstheme="minorHAnsi"/>
          <w:color w:val="000000"/>
          <w:sz w:val="26"/>
          <w:szCs w:val="26"/>
          <w:lang w:eastAsia="pt-BR"/>
        </w:rPr>
        <w:t xml:space="preserve"> está localizado na fazenda Barreiro Serra, zona rural do município de Luminárias, no alto da serra conhecida como Serra Grande ou Serra de Santo Inácio ou Serra do Navio, onde faz divisa com o município de Carrancas. </w:t>
      </w:r>
    </w:p>
    <w:p w14:paraId="3CC85741" w14:textId="77777777" w:rsidR="00C20C06" w:rsidRDefault="006D74F8">
      <w:pPr>
        <w:spacing w:before="120" w:after="120" w:line="240" w:lineRule="auto"/>
        <w:ind w:right="120"/>
        <w:jc w:val="both"/>
        <w:rPr>
          <w:rFonts w:eastAsia="Times New Roman" w:cstheme="minorHAnsi"/>
          <w:color w:val="000000"/>
          <w:sz w:val="26"/>
          <w:szCs w:val="26"/>
          <w:highlight w:val="yellow"/>
          <w:lang w:eastAsia="pt-BR"/>
        </w:rPr>
      </w:pPr>
      <w:r>
        <w:rPr>
          <w:rFonts w:eastAsia="Times New Roman" w:cstheme="minorHAnsi"/>
          <w:color w:val="000000"/>
          <w:sz w:val="26"/>
          <w:szCs w:val="26"/>
          <w:lang w:eastAsia="pt-BR"/>
        </w:rPr>
        <w:t>Salientando que o referido DNPM é bastante grande (865.06ha), por isto abrange não só o município de Luminárias, mas uma pequena parte no município de Carrancas, porém, conforme Parecer Único - PU n. 547310/2019, do licenciamento, as intervenções das atividades de lavra, pilha de estéril e estradas do empreendimento ocorre apenas no município de Luminárias.</w:t>
      </w:r>
    </w:p>
    <w:p w14:paraId="6CC82590"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A propriedade do solo pertence ao espólio de Olímpio Ferreira de Andrade e Ronaldo Moreira de Andrade. </w:t>
      </w:r>
    </w:p>
    <w:p w14:paraId="5555F40E" w14:textId="77777777" w:rsidR="00C20C06" w:rsidRDefault="006D74F8">
      <w:pPr>
        <w:spacing w:before="120" w:after="120" w:line="240" w:lineRule="auto"/>
        <w:ind w:right="120"/>
        <w:jc w:val="both"/>
        <w:rPr>
          <w:rFonts w:eastAsia="Times New Roman" w:cstheme="minorHAnsi"/>
          <w:color w:val="000000"/>
          <w:sz w:val="26"/>
          <w:szCs w:val="26"/>
          <w:highlight w:val="yellow"/>
          <w:lang w:eastAsia="pt-BR"/>
        </w:rPr>
      </w:pPr>
      <w:r>
        <w:rPr>
          <w:rFonts w:eastAsia="Times New Roman" w:cstheme="minorHAnsi"/>
          <w:noProof/>
          <w:color w:val="000000"/>
          <w:sz w:val="26"/>
          <w:szCs w:val="26"/>
          <w:lang w:eastAsia="pt-BR"/>
        </w:rPr>
        <w:lastRenderedPageBreak/>
        <w:drawing>
          <wp:inline distT="0" distB="0" distL="0" distR="0" wp14:anchorId="3DFFDD06" wp14:editId="1BCF117D">
            <wp:extent cx="5400040" cy="3382645"/>
            <wp:effectExtent l="0" t="0" r="0" b="8255"/>
            <wp:docPr id="3" name="Imagem 3" descr="Z:\Banco de Dados - NUBIO\COMPENSAÇÃO MINERÁRIA\Processos em análise 2022\OLIMPIO FERREIRA DE ANDRADE com resp\Image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Z:\Banco de Dados - NUBIO\COMPENSAÇÃO MINERÁRIA\Processos em análise 2022\OLIMPIO FERREIRA DE ANDRADE com resp\Imagem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400040" cy="3383082"/>
                    </a:xfrm>
                    <a:prstGeom prst="rect">
                      <a:avLst/>
                    </a:prstGeom>
                    <a:noFill/>
                    <a:ln>
                      <a:noFill/>
                    </a:ln>
                  </pic:spPr>
                </pic:pic>
              </a:graphicData>
            </a:graphic>
          </wp:inline>
        </w:drawing>
      </w:r>
    </w:p>
    <w:p w14:paraId="5D80A8E8" w14:textId="77777777" w:rsidR="00C20C06" w:rsidRDefault="006D74F8">
      <w:pPr>
        <w:spacing w:after="0" w:line="240" w:lineRule="auto"/>
        <w:rPr>
          <w:highlight w:val="yellow"/>
          <w:lang w:eastAsia="pt-BR"/>
        </w:rPr>
      </w:pPr>
      <w:r>
        <w:rPr>
          <w:lang w:eastAsia="pt-BR"/>
        </w:rPr>
        <w:t>Imagem 1 (IDE): Poligonal do referido DNPM (ANM</w:t>
      </w:r>
      <w:proofErr w:type="gramStart"/>
      <w:r>
        <w:rPr>
          <w:lang w:eastAsia="pt-BR"/>
        </w:rPr>
        <w:t>),a</w:t>
      </w:r>
      <w:proofErr w:type="gramEnd"/>
      <w:r>
        <w:rPr>
          <w:lang w:eastAsia="pt-BR"/>
        </w:rPr>
        <w:t xml:space="preserve"> área total da propriedade (em rosa) e a ADA do empreendimento (pontuada em azul).</w:t>
      </w:r>
    </w:p>
    <w:p w14:paraId="2BDCB4BC" w14:textId="77777777" w:rsidR="00C20C06" w:rsidRDefault="00C20C06">
      <w:pPr>
        <w:spacing w:before="120" w:after="120" w:line="240" w:lineRule="auto"/>
        <w:ind w:right="120"/>
        <w:jc w:val="both"/>
        <w:rPr>
          <w:rFonts w:eastAsia="Times New Roman" w:cstheme="minorHAnsi"/>
          <w:color w:val="000000"/>
          <w:sz w:val="26"/>
          <w:szCs w:val="26"/>
          <w:lang w:eastAsia="pt-BR"/>
        </w:rPr>
      </w:pPr>
    </w:p>
    <w:p w14:paraId="4D0E4BB7"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Conforme IDE, o direito minerário do empreendimento em tela, </w:t>
      </w:r>
      <w:r>
        <w:rPr>
          <w:rFonts w:eastAsia="Times New Roman" w:cstheme="minorHAnsi"/>
          <w:b/>
          <w:color w:val="000000"/>
          <w:sz w:val="26"/>
          <w:szCs w:val="26"/>
          <w:lang w:eastAsia="pt-BR"/>
        </w:rPr>
        <w:t>DNPM 831.924/1989</w:t>
      </w:r>
      <w:r>
        <w:rPr>
          <w:rFonts w:eastAsia="Times New Roman" w:cstheme="minorHAnsi"/>
          <w:color w:val="000000"/>
          <w:sz w:val="26"/>
          <w:szCs w:val="26"/>
          <w:lang w:eastAsia="pt-BR"/>
        </w:rPr>
        <w:t xml:space="preserve">, pertence ao próprio empreendimento, estando em fase de concessão de Lavra. </w:t>
      </w:r>
    </w:p>
    <w:p w14:paraId="387B86E5"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Ainda conforme PU de licenciamento (SUPRAM SM) transcrevesse abaixo: </w:t>
      </w:r>
    </w:p>
    <w:p w14:paraId="75F2C9BE"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“A atividade no local teve início há mais de 40 anos. Visto o tamanho do imóvel observasse por imagens de satélite que a área já passou por uma série de intervenções ao longo de décadas, intervenções que deixaram várias áreas de exploração sem recuperação que serão objeto de um Plano de Recuperação de Áreas Degradadas – PRAD neste processo de licenciamento ambiental. Apesar de todo passivo verificado dentro da poligonal ANM nº 831.924/1989, este processo irá regularizar uma única frente de lavra e uma pilha de rejeito. Todas as demais frentes de lavras e pilhas estão contempladas no PRAD.”</w:t>
      </w:r>
    </w:p>
    <w:p w14:paraId="7E3273F5"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Este empreendimento tem como ponto de referência, as coordenadas geográficas de referência, latitude 21º33’17” e longitude 44º48’49”, DATUM Sirgas 2000, poligonal registrada na Agência Nacional de Mineração (ANM) com o número ANM n° </w:t>
      </w:r>
      <w:r>
        <w:rPr>
          <w:rFonts w:eastAsia="Times New Roman" w:cstheme="minorHAnsi"/>
          <w:b/>
          <w:color w:val="000000"/>
          <w:sz w:val="26"/>
          <w:szCs w:val="26"/>
          <w:lang w:eastAsia="pt-BR"/>
        </w:rPr>
        <w:t>831.924/1989</w:t>
      </w:r>
      <w:r>
        <w:rPr>
          <w:rFonts w:eastAsia="Times New Roman" w:cstheme="minorHAnsi"/>
          <w:color w:val="000000"/>
          <w:sz w:val="26"/>
          <w:szCs w:val="26"/>
          <w:lang w:eastAsia="pt-BR"/>
        </w:rPr>
        <w:t xml:space="preserve">, município </w:t>
      </w:r>
      <w:r>
        <w:rPr>
          <w:rFonts w:eastAsia="Times New Roman" w:cstheme="minorHAnsi"/>
          <w:b/>
          <w:color w:val="000000"/>
          <w:sz w:val="26"/>
          <w:szCs w:val="26"/>
          <w:lang w:eastAsia="pt-BR"/>
        </w:rPr>
        <w:t xml:space="preserve">Luminárias </w:t>
      </w:r>
      <w:r>
        <w:rPr>
          <w:rFonts w:eastAsia="Times New Roman" w:cstheme="minorHAnsi"/>
          <w:color w:val="000000"/>
          <w:sz w:val="26"/>
          <w:szCs w:val="26"/>
          <w:lang w:eastAsia="pt-BR"/>
        </w:rPr>
        <w:t xml:space="preserve">– MG. </w:t>
      </w:r>
    </w:p>
    <w:p w14:paraId="70977A9B"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noProof/>
          <w:color w:val="000000"/>
          <w:sz w:val="26"/>
          <w:szCs w:val="26"/>
          <w:lang w:eastAsia="pt-BR"/>
        </w:rPr>
        <w:lastRenderedPageBreak/>
        <w:drawing>
          <wp:inline distT="0" distB="0" distL="0" distR="0" wp14:anchorId="71DEA7DF" wp14:editId="05DB1073">
            <wp:extent cx="5400040" cy="3352165"/>
            <wp:effectExtent l="0" t="0" r="0"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pic:cNvPicPr>
                  </pic:nvPicPr>
                  <pic:blipFill>
                    <a:blip r:embed="rId9"/>
                    <a:stretch>
                      <a:fillRect/>
                    </a:stretch>
                  </pic:blipFill>
                  <pic:spPr>
                    <a:xfrm>
                      <a:off x="0" y="0"/>
                      <a:ext cx="5400040" cy="3352571"/>
                    </a:xfrm>
                    <a:prstGeom prst="rect">
                      <a:avLst/>
                    </a:prstGeom>
                  </pic:spPr>
                </pic:pic>
              </a:graphicData>
            </a:graphic>
          </wp:inline>
        </w:drawing>
      </w:r>
    </w:p>
    <w:p w14:paraId="7E478F34" w14:textId="77777777" w:rsidR="00C20C06" w:rsidRDefault="006D74F8">
      <w:pPr>
        <w:spacing w:after="0" w:line="240" w:lineRule="auto"/>
        <w:rPr>
          <w:lang w:eastAsia="pt-BR"/>
        </w:rPr>
      </w:pPr>
      <w:r>
        <w:rPr>
          <w:lang w:eastAsia="pt-BR"/>
        </w:rPr>
        <w:t>Imagem 2 (IDE): Área da ADA informada (limites em azul), DNPM 831.924.1989.</w:t>
      </w:r>
    </w:p>
    <w:p w14:paraId="1A4DCAAF" w14:textId="77777777" w:rsidR="00C20C06" w:rsidRDefault="00C20C06">
      <w:pPr>
        <w:spacing w:before="120" w:after="120" w:line="240" w:lineRule="auto"/>
        <w:ind w:right="120"/>
        <w:jc w:val="both"/>
        <w:rPr>
          <w:rFonts w:eastAsia="Times New Roman" w:cstheme="minorHAnsi"/>
          <w:color w:val="000000"/>
          <w:sz w:val="26"/>
          <w:szCs w:val="26"/>
          <w:lang w:eastAsia="pt-BR"/>
        </w:rPr>
      </w:pPr>
    </w:p>
    <w:p w14:paraId="35655ABD"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Em 29 de julho de 2020, o empreendedor protocolou documentação para proposta de compensação minerária, nos termos do Art. 75 da Lei nº 20.922/2013, Portaria IEF n° 27/2017, via SEI, número </w:t>
      </w:r>
      <w:r>
        <w:rPr>
          <w:rFonts w:eastAsia="Times New Roman" w:cstheme="minorHAnsi"/>
          <w:b/>
          <w:color w:val="000000"/>
          <w:sz w:val="26"/>
          <w:szCs w:val="26"/>
          <w:lang w:eastAsia="pt-BR"/>
        </w:rPr>
        <w:t>2100.01.0026764/2020-37</w:t>
      </w:r>
      <w:r>
        <w:rPr>
          <w:rFonts w:eastAsia="Times New Roman" w:cstheme="minorHAnsi"/>
          <w:color w:val="000000"/>
          <w:sz w:val="26"/>
          <w:szCs w:val="26"/>
          <w:lang w:eastAsia="pt-BR"/>
        </w:rPr>
        <w:t>.</w:t>
      </w:r>
      <w:r>
        <w:rPr>
          <w:rFonts w:ascii="Calibri" w:eastAsia="SimSun" w:hAnsi="Calibri" w:cs="Calibri"/>
          <w:b/>
          <w:sz w:val="26"/>
          <w:szCs w:val="26"/>
        </w:rPr>
        <w:t xml:space="preserve"> </w:t>
      </w:r>
      <w:r>
        <w:rPr>
          <w:rFonts w:eastAsia="Times New Roman" w:cstheme="minorHAnsi"/>
          <w:color w:val="000000"/>
          <w:sz w:val="26"/>
          <w:szCs w:val="26"/>
          <w:lang w:eastAsia="pt-BR"/>
        </w:rPr>
        <w:t xml:space="preserve">encaminhado à Gerência de Compensação Ambiental e Regularização Fundiária – GCARF, sendo encaminhado à </w:t>
      </w:r>
      <w:proofErr w:type="spellStart"/>
      <w:r>
        <w:rPr>
          <w:rFonts w:eastAsia="Times New Roman" w:cstheme="minorHAnsi"/>
          <w:color w:val="000000"/>
          <w:sz w:val="26"/>
          <w:szCs w:val="26"/>
          <w:lang w:eastAsia="pt-BR"/>
        </w:rPr>
        <w:t>URFio</w:t>
      </w:r>
      <w:proofErr w:type="spellEnd"/>
      <w:r>
        <w:rPr>
          <w:rFonts w:eastAsia="Times New Roman" w:cstheme="minorHAnsi"/>
          <w:color w:val="000000"/>
          <w:sz w:val="26"/>
          <w:szCs w:val="26"/>
          <w:lang w:eastAsia="pt-BR"/>
        </w:rPr>
        <w:t xml:space="preserve"> Sul e recebido neste Núcleo de Biodiversidade em 20/10/20 para a análise prévia, onde foi constatado a ausência de algumas informações necessárias para formalização, sendo então solicitados através do Ofício IEF/URFBIO SUL - NUBIO nº. 26/2020 em 03/11/20, </w:t>
      </w:r>
    </w:p>
    <w:p w14:paraId="0C56E339"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Em 29/12/20 foram apresentadas as informações e PECFM, entretanto ainda faltaram documentos necessários para formalização, sendo que a proposta inicial não contemplava por completo o </w:t>
      </w:r>
      <w:proofErr w:type="spellStart"/>
      <w:r>
        <w:rPr>
          <w:rFonts w:eastAsia="Times New Roman" w:cstheme="minorHAnsi"/>
          <w:color w:val="000000"/>
          <w:sz w:val="26"/>
          <w:szCs w:val="26"/>
          <w:lang w:eastAsia="pt-BR"/>
        </w:rPr>
        <w:t>art</w:t>
      </w:r>
      <w:proofErr w:type="spellEnd"/>
      <w:r>
        <w:rPr>
          <w:rFonts w:eastAsia="Times New Roman" w:cstheme="minorHAnsi"/>
          <w:color w:val="000000"/>
          <w:sz w:val="26"/>
          <w:szCs w:val="26"/>
          <w:lang w:eastAsia="pt-BR"/>
        </w:rPr>
        <w:t xml:space="preserve"> 75 da Lei Estadual 20.922, sendo em 26/01/21 solicitados tais documentos conforme </w:t>
      </w:r>
      <w:proofErr w:type="spellStart"/>
      <w:r>
        <w:rPr>
          <w:rFonts w:eastAsia="Times New Roman" w:cstheme="minorHAnsi"/>
          <w:color w:val="000000"/>
          <w:sz w:val="26"/>
          <w:szCs w:val="26"/>
          <w:lang w:eastAsia="pt-BR"/>
        </w:rPr>
        <w:t>check-list</w:t>
      </w:r>
      <w:proofErr w:type="spellEnd"/>
      <w:r>
        <w:rPr>
          <w:rFonts w:eastAsia="Times New Roman" w:cstheme="minorHAnsi"/>
          <w:color w:val="000000"/>
          <w:sz w:val="26"/>
          <w:szCs w:val="26"/>
          <w:lang w:eastAsia="pt-BR"/>
        </w:rPr>
        <w:t>, contudo foi necessário novo contato por e-mail em 22/06/21 para orientação uma vez que uma das áreas inicialmente proposta estava em desacordo com as regras, pois sobrepunha à área já regularizada, em nome do IEF.</w:t>
      </w:r>
    </w:p>
    <w:p w14:paraId="7C57BE05"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Em 24/08/21 foram apresentados outros documentos complementares e solicitação de novo prazo para apresentação dos faltantes, sendo entendido pelas dificuldades geradas pela pandemia do COVID-19.</w:t>
      </w:r>
    </w:p>
    <w:p w14:paraId="4D21CE7C"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Finalmente foi apresentada proposta, </w:t>
      </w:r>
      <w:r>
        <w:rPr>
          <w:rFonts w:eastAsia="Times New Roman" w:cstheme="minorHAnsi"/>
          <w:b/>
          <w:color w:val="000000"/>
          <w:sz w:val="26"/>
          <w:szCs w:val="26"/>
          <w:lang w:eastAsia="pt-BR"/>
        </w:rPr>
        <w:t xml:space="preserve">para compensação florestal minerária da área do DNPM número 831.924/1989, </w:t>
      </w:r>
      <w:r>
        <w:rPr>
          <w:rFonts w:eastAsia="Times New Roman" w:cstheme="minorHAnsi"/>
          <w:color w:val="000000"/>
          <w:sz w:val="26"/>
          <w:szCs w:val="26"/>
          <w:lang w:eastAsia="pt-BR"/>
        </w:rPr>
        <w:t xml:space="preserve">tanto para o parágrafo 1 quanto para o 2 do artigo 75 da Lei Estadual 20.922 de forma conjunta, ou seja a área apresentada como Área Diretamente Afetada – ADA, as áreas anteriores à </w:t>
      </w:r>
      <w:r>
        <w:rPr>
          <w:rFonts w:eastAsia="Times New Roman" w:cstheme="minorHAnsi"/>
          <w:color w:val="000000"/>
          <w:sz w:val="26"/>
          <w:szCs w:val="26"/>
          <w:lang w:eastAsia="pt-BR"/>
        </w:rPr>
        <w:lastRenderedPageBreak/>
        <w:t xml:space="preserve">2013, compreendendo a área informada no PU do licenciamento como sendo a ADA do empreendimento, excluindo as áreas objeto dos </w:t>
      </w:r>
      <w:proofErr w:type="spellStart"/>
      <w:r>
        <w:rPr>
          <w:rFonts w:eastAsia="Times New Roman" w:cstheme="minorHAnsi"/>
          <w:color w:val="000000"/>
          <w:sz w:val="26"/>
          <w:szCs w:val="26"/>
          <w:lang w:eastAsia="pt-BR"/>
        </w:rPr>
        <w:t>PRAD`s</w:t>
      </w:r>
      <w:proofErr w:type="spellEnd"/>
      <w:r>
        <w:rPr>
          <w:rFonts w:eastAsia="Times New Roman" w:cstheme="minorHAnsi"/>
          <w:color w:val="000000"/>
          <w:sz w:val="26"/>
          <w:szCs w:val="26"/>
          <w:lang w:eastAsia="pt-BR"/>
        </w:rPr>
        <w:t xml:space="preserve"> acordados com a SUPRAM SM, e as áreas de supressão posteriores autorizadas, até a presente data, sendo em 24/09/21 declarado como processo formalizado, sendo então dado início imediato na análise e encaminhamentos.</w:t>
      </w:r>
    </w:p>
    <w:p w14:paraId="24FB50E0" w14:textId="77777777" w:rsidR="00C20C06" w:rsidRDefault="006D74F8">
      <w:pPr>
        <w:spacing w:before="120" w:after="120" w:line="240" w:lineRule="auto"/>
        <w:ind w:right="120"/>
        <w:jc w:val="both"/>
        <w:rPr>
          <w:rFonts w:ascii="Calibri" w:eastAsia="SimSun" w:hAnsi="Calibri" w:cs="Calibri"/>
          <w:sz w:val="26"/>
          <w:szCs w:val="26"/>
        </w:rPr>
      </w:pPr>
      <w:r>
        <w:rPr>
          <w:rFonts w:ascii="Calibri" w:eastAsia="SimSun" w:hAnsi="Calibri" w:cs="Calibri"/>
          <w:sz w:val="26"/>
          <w:szCs w:val="26"/>
        </w:rPr>
        <w:t>Conforme estudos apresentados, a área proposta para a compensação florestal minerária é equivalente a ADA atual do empreendimento</w:t>
      </w:r>
      <w:r>
        <w:rPr>
          <w:rFonts w:eastAsia="Times New Roman" w:cstheme="minorHAnsi"/>
          <w:b/>
          <w:color w:val="000000"/>
          <w:sz w:val="26"/>
          <w:szCs w:val="26"/>
          <w:lang w:eastAsia="pt-BR"/>
        </w:rPr>
        <w:t xml:space="preserve"> DNPM número 831.924/1989</w:t>
      </w:r>
      <w:r>
        <w:rPr>
          <w:rFonts w:ascii="Calibri" w:eastAsia="SimSun" w:hAnsi="Calibri" w:cs="Calibri"/>
          <w:sz w:val="26"/>
          <w:szCs w:val="26"/>
        </w:rPr>
        <w:t xml:space="preserve">, sendo uma área total de </w:t>
      </w:r>
      <w:r>
        <w:rPr>
          <w:rFonts w:ascii="Calibri" w:eastAsia="SimSun" w:hAnsi="Calibri" w:cs="Calibri"/>
          <w:b/>
          <w:sz w:val="26"/>
          <w:szCs w:val="26"/>
        </w:rPr>
        <w:t>17,2975ha</w:t>
      </w:r>
      <w:r>
        <w:rPr>
          <w:rFonts w:ascii="Calibri" w:eastAsia="SimSun" w:hAnsi="Calibri" w:cs="Calibri"/>
          <w:sz w:val="26"/>
          <w:szCs w:val="26"/>
        </w:rPr>
        <w:t>, sendo efetivamente proposta para doação 17,4591ha, pois há uma pequena parte se encontra fora dos limites do PESP, sendo oferecida para doação, mas não sendo contabilizado para efeitos de compensação.</w:t>
      </w:r>
    </w:p>
    <w:p w14:paraId="585A7572" w14:textId="77777777" w:rsidR="00C20C06" w:rsidRDefault="00C20C06">
      <w:pPr>
        <w:spacing w:before="120" w:after="120" w:line="240" w:lineRule="auto"/>
        <w:ind w:right="120"/>
        <w:jc w:val="both"/>
        <w:rPr>
          <w:rFonts w:ascii="Calibri" w:eastAsia="SimSun" w:hAnsi="Calibri" w:cs="Calibri"/>
          <w:sz w:val="26"/>
          <w:szCs w:val="26"/>
        </w:rPr>
      </w:pPr>
    </w:p>
    <w:p w14:paraId="2158689D" w14:textId="77777777" w:rsidR="00C20C06" w:rsidRDefault="006D74F8">
      <w:pPr>
        <w:spacing w:before="120" w:after="120" w:line="240" w:lineRule="auto"/>
        <w:ind w:right="120"/>
        <w:jc w:val="both"/>
        <w:rPr>
          <w:rFonts w:eastAsia="Times New Roman" w:cstheme="minorHAnsi"/>
          <w:color w:val="000000"/>
          <w:sz w:val="26"/>
          <w:szCs w:val="26"/>
          <w:highlight w:val="yellow"/>
          <w:lang w:eastAsia="pt-BR"/>
        </w:rPr>
      </w:pPr>
      <w:r>
        <w:rPr>
          <w:rFonts w:eastAsia="Times New Roman" w:cstheme="minorHAnsi"/>
          <w:noProof/>
          <w:color w:val="000000"/>
          <w:sz w:val="26"/>
          <w:szCs w:val="26"/>
          <w:lang w:eastAsia="pt-BR"/>
        </w:rPr>
        <w:drawing>
          <wp:inline distT="0" distB="0" distL="0" distR="0" wp14:anchorId="4012B7C3" wp14:editId="29207F38">
            <wp:extent cx="5400040" cy="3442335"/>
            <wp:effectExtent l="0" t="0" r="0" b="5715"/>
            <wp:docPr id="4" name="Imagem 4" descr="Z:\Banco de Dados - NUBIO\COMPENSAÇÃO MINERÁRIA\Processos em análise 2022\OLIMPIO FERREIRA DE ANDRADE com resp\Image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Z:\Banco de Dados - NUBIO\COMPENSAÇÃO MINERÁRIA\Processos em análise 2022\OLIMPIO FERREIRA DE ANDRADE com resp\Imagem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400040" cy="3442656"/>
                    </a:xfrm>
                    <a:prstGeom prst="rect">
                      <a:avLst/>
                    </a:prstGeom>
                    <a:noFill/>
                    <a:ln>
                      <a:noFill/>
                    </a:ln>
                  </pic:spPr>
                </pic:pic>
              </a:graphicData>
            </a:graphic>
          </wp:inline>
        </w:drawing>
      </w:r>
    </w:p>
    <w:p w14:paraId="57B20C7A" w14:textId="77777777" w:rsidR="00C20C06" w:rsidRDefault="006D74F8">
      <w:pPr>
        <w:spacing w:after="0" w:line="240" w:lineRule="auto"/>
        <w:rPr>
          <w:lang w:eastAsia="pt-BR"/>
        </w:rPr>
      </w:pPr>
      <w:r>
        <w:rPr>
          <w:lang w:eastAsia="pt-BR"/>
        </w:rPr>
        <w:t>Imagem 3 (IDE): Área da poligonal DNPM 831.924.1989 e o polígono da ADA informada (limites em rosa).</w:t>
      </w:r>
    </w:p>
    <w:p w14:paraId="64957C0F" w14:textId="77777777" w:rsidR="00C20C06" w:rsidRDefault="00C20C06">
      <w:pPr>
        <w:spacing w:before="120" w:after="120" w:line="240" w:lineRule="auto"/>
        <w:ind w:right="120"/>
        <w:jc w:val="both"/>
        <w:rPr>
          <w:rFonts w:ascii="Calibri" w:eastAsia="SimSun" w:hAnsi="Calibri" w:cs="Calibri"/>
          <w:sz w:val="26"/>
          <w:szCs w:val="26"/>
        </w:rPr>
      </w:pPr>
    </w:p>
    <w:p w14:paraId="55C54030"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Portanto neste processo de compensação ambiental florestal minerária, estão sendo tratadas as duas regularizações, até o momento atual: </w:t>
      </w:r>
    </w:p>
    <w:p w14:paraId="0B3C4B21" w14:textId="77777777" w:rsidR="00C20C06" w:rsidRDefault="006D74F8">
      <w:pPr>
        <w:spacing w:before="120" w:after="120" w:line="240" w:lineRule="auto"/>
        <w:ind w:right="120" w:firstLine="708"/>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A regularização das áreas de supressão após </w:t>
      </w:r>
      <w:r>
        <w:rPr>
          <w:rFonts w:ascii="Arial" w:hAnsi="Arial" w:cs="Arial"/>
          <w:sz w:val="24"/>
          <w:szCs w:val="24"/>
        </w:rPr>
        <w:t>17/10/2013</w:t>
      </w:r>
      <w:r>
        <w:rPr>
          <w:rFonts w:eastAsia="Times New Roman" w:cstheme="minorHAnsi"/>
          <w:color w:val="000000"/>
          <w:sz w:val="26"/>
          <w:szCs w:val="26"/>
          <w:lang w:eastAsia="pt-BR"/>
        </w:rPr>
        <w:t xml:space="preserve">, referente ao </w:t>
      </w:r>
      <w:r>
        <w:rPr>
          <w:rFonts w:eastAsia="Times New Roman" w:cstheme="minorHAnsi"/>
          <w:b/>
          <w:color w:val="000000"/>
          <w:sz w:val="26"/>
          <w:szCs w:val="26"/>
          <w:lang w:eastAsia="pt-BR"/>
        </w:rPr>
        <w:t>§1º do art. 75 da Lei n° 20.922 de 2013</w:t>
      </w:r>
      <w:r>
        <w:rPr>
          <w:rFonts w:eastAsia="Times New Roman" w:cstheme="minorHAnsi"/>
          <w:color w:val="000000"/>
          <w:sz w:val="26"/>
          <w:szCs w:val="26"/>
          <w:lang w:eastAsia="pt-BR"/>
        </w:rPr>
        <w:t xml:space="preserve"> até a presente data, sendo uma área de 0,2808 ha com supressão de vegetação nativa (área utilizada para o avanço da frente de lavra), que acrescida de áreas para outras estruturas, totalizava </w:t>
      </w:r>
      <w:r>
        <w:rPr>
          <w:rFonts w:eastAsia="Times New Roman" w:cstheme="minorHAnsi"/>
          <w:sz w:val="26"/>
          <w:szCs w:val="26"/>
          <w:lang w:eastAsia="pt-BR"/>
        </w:rPr>
        <w:t>2,4841ha</w:t>
      </w:r>
      <w:r>
        <w:rPr>
          <w:rFonts w:eastAsia="Times New Roman" w:cstheme="minorHAnsi"/>
          <w:color w:val="000000"/>
          <w:sz w:val="26"/>
          <w:szCs w:val="26"/>
          <w:lang w:eastAsia="pt-BR"/>
        </w:rPr>
        <w:t xml:space="preserve"> conforme PU do licenciamento (</w:t>
      </w:r>
      <w:r>
        <w:rPr>
          <w:rFonts w:eastAsia="Times New Roman" w:cstheme="minorHAnsi"/>
          <w:b/>
          <w:color w:val="000000"/>
          <w:sz w:val="26"/>
          <w:szCs w:val="26"/>
          <w:lang w:eastAsia="pt-BR"/>
        </w:rPr>
        <w:t>DNPM número 831.924/1989).</w:t>
      </w:r>
    </w:p>
    <w:p w14:paraId="231AF4BA" w14:textId="77777777" w:rsidR="00C20C06" w:rsidRDefault="006D74F8">
      <w:pPr>
        <w:spacing w:before="120" w:after="120" w:line="240" w:lineRule="auto"/>
        <w:ind w:right="120" w:firstLine="708"/>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Também é tratada aqui, a regularização da parte do empreendimento a que se refere ao </w:t>
      </w:r>
      <w:r>
        <w:rPr>
          <w:rFonts w:eastAsia="Times New Roman" w:cstheme="minorHAnsi"/>
          <w:b/>
          <w:color w:val="000000"/>
          <w:sz w:val="26"/>
          <w:szCs w:val="26"/>
          <w:lang w:eastAsia="pt-BR"/>
        </w:rPr>
        <w:t>§2º do art. 75 da Lei n° 20.922 de 2013</w:t>
      </w:r>
      <w:r>
        <w:rPr>
          <w:rFonts w:eastAsia="Times New Roman" w:cstheme="minorHAnsi"/>
          <w:color w:val="000000"/>
          <w:sz w:val="26"/>
          <w:szCs w:val="26"/>
          <w:lang w:eastAsia="pt-BR"/>
        </w:rPr>
        <w:t xml:space="preserve">, para uma área </w:t>
      </w:r>
      <w:r>
        <w:rPr>
          <w:rFonts w:eastAsia="Times New Roman" w:cstheme="minorHAnsi"/>
          <w:color w:val="000000"/>
          <w:sz w:val="26"/>
          <w:szCs w:val="26"/>
          <w:lang w:eastAsia="pt-BR"/>
        </w:rPr>
        <w:lastRenderedPageBreak/>
        <w:t>calculada em 5,9112ha acrescida de 11,0875 de outras estruturas, incluída a área citada acima (0,2808) totalizando</w:t>
      </w:r>
      <w:r>
        <w:rPr>
          <w:rFonts w:eastAsia="Times New Roman" w:cstheme="minorHAnsi"/>
          <w:b/>
          <w:color w:val="000000"/>
          <w:sz w:val="26"/>
          <w:szCs w:val="26"/>
          <w:lang w:eastAsia="pt-BR"/>
        </w:rPr>
        <w:t xml:space="preserve"> 17,2975ha</w:t>
      </w:r>
      <w:r>
        <w:rPr>
          <w:rFonts w:eastAsia="Times New Roman" w:cstheme="minorHAnsi"/>
          <w:color w:val="000000"/>
          <w:sz w:val="26"/>
          <w:szCs w:val="26"/>
          <w:lang w:eastAsia="pt-BR"/>
        </w:rPr>
        <w:t>, que completa a área diretamente afetada ADA, sendo a área total utilizada na atualidade, conforme informado.</w:t>
      </w:r>
    </w:p>
    <w:p w14:paraId="5C2B3ED6" w14:textId="77777777" w:rsidR="00C20C06" w:rsidRDefault="00C20C06">
      <w:pPr>
        <w:spacing w:before="120" w:after="0" w:line="240" w:lineRule="auto"/>
        <w:ind w:right="119"/>
        <w:jc w:val="both"/>
        <w:rPr>
          <w:rFonts w:eastAsia="Times New Roman" w:cstheme="minorHAnsi"/>
          <w:color w:val="000000"/>
          <w:sz w:val="26"/>
          <w:szCs w:val="26"/>
          <w:highlight w:val="yellow"/>
          <w:lang w:eastAsia="pt-BR"/>
        </w:rPr>
      </w:pPr>
    </w:p>
    <w:p w14:paraId="02168B96" w14:textId="77777777" w:rsidR="00C20C06" w:rsidRDefault="006D74F8">
      <w:pPr>
        <w:shd w:val="clear" w:color="auto" w:fill="E6E6E6"/>
        <w:spacing w:before="120" w:after="120" w:line="240" w:lineRule="auto"/>
        <w:ind w:left="120" w:right="120"/>
        <w:jc w:val="both"/>
        <w:rPr>
          <w:rFonts w:eastAsia="Times New Roman" w:cstheme="minorHAnsi"/>
          <w:b/>
          <w:bCs/>
          <w:color w:val="000000"/>
          <w:sz w:val="26"/>
          <w:szCs w:val="26"/>
          <w:lang w:eastAsia="pt-BR"/>
        </w:rPr>
      </w:pPr>
      <w:r>
        <w:rPr>
          <w:rFonts w:eastAsia="Times New Roman" w:cstheme="minorHAnsi"/>
          <w:b/>
          <w:bCs/>
          <w:color w:val="000000"/>
          <w:sz w:val="26"/>
          <w:szCs w:val="26"/>
          <w:lang w:eastAsia="pt-BR"/>
        </w:rPr>
        <w:t>4 - IDENTIFICAÇÃO DA MEDIDA COMPENSATÓRIA - PROPOSTA APRESENTADA</w:t>
      </w:r>
    </w:p>
    <w:p w14:paraId="35F5A5ED" w14:textId="77777777" w:rsidR="00C20C06" w:rsidRDefault="00C20C06">
      <w:pPr>
        <w:spacing w:before="120" w:after="120" w:line="240" w:lineRule="auto"/>
        <w:ind w:right="120"/>
        <w:jc w:val="both"/>
        <w:rPr>
          <w:rFonts w:eastAsia="Times New Roman" w:cstheme="minorHAnsi"/>
          <w:color w:val="000000"/>
          <w:sz w:val="26"/>
          <w:szCs w:val="26"/>
          <w:highlight w:val="yellow"/>
          <w:lang w:eastAsia="pt-BR"/>
        </w:rPr>
      </w:pPr>
    </w:p>
    <w:p w14:paraId="2BEB43ED"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A proposta apresentada é a doação de duas áreas, que totalizam </w:t>
      </w:r>
      <w:r>
        <w:rPr>
          <w:rFonts w:ascii="Arial" w:hAnsi="Arial" w:cs="Arial"/>
          <w:b/>
          <w:bCs/>
        </w:rPr>
        <w:t>17,4591 ha,</w:t>
      </w:r>
      <w:r>
        <w:rPr>
          <w:rFonts w:eastAsia="Times New Roman" w:cstheme="minorHAnsi"/>
          <w:color w:val="000000"/>
          <w:sz w:val="26"/>
          <w:szCs w:val="26"/>
          <w:lang w:eastAsia="pt-BR"/>
        </w:rPr>
        <w:t xml:space="preserve"> localizada no interior de Unidade de Conservação de Proteção Integral pendente de regularização fundiária para consequente doação ao Estado.</w:t>
      </w:r>
    </w:p>
    <w:p w14:paraId="7B99A8DF"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Foi consultado à equipe de geoprocessamento da Gerência de Compensação Ambiental e Regularização Fundiária GCARF em BH, sendo que para as áreas propostas, não há nenhuma sobreposição com áreas já doadas/regularizadas em nome do IEF.</w:t>
      </w:r>
    </w:p>
    <w:p w14:paraId="50F061AE" w14:textId="77777777" w:rsidR="00C20C06" w:rsidRDefault="006D74F8">
      <w:pPr>
        <w:spacing w:before="120" w:after="0" w:line="240" w:lineRule="auto"/>
        <w:ind w:right="119"/>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A área proposta para compensação florestal está localizada em duas partes, portanto trataremos aqui como </w:t>
      </w:r>
      <w:r>
        <w:rPr>
          <w:rFonts w:eastAsia="Times New Roman" w:cstheme="minorHAnsi"/>
          <w:b/>
          <w:color w:val="000000"/>
          <w:sz w:val="26"/>
          <w:szCs w:val="26"/>
          <w:lang w:eastAsia="pt-BR"/>
        </w:rPr>
        <w:t>áreas 1 e 2</w:t>
      </w:r>
      <w:r>
        <w:rPr>
          <w:rFonts w:eastAsia="Times New Roman" w:cstheme="minorHAnsi"/>
          <w:color w:val="000000"/>
          <w:sz w:val="26"/>
          <w:szCs w:val="26"/>
          <w:lang w:eastAsia="pt-BR"/>
        </w:rPr>
        <w:t xml:space="preserve">, sendo detalhadas a seguir: </w:t>
      </w:r>
    </w:p>
    <w:p w14:paraId="30E034FE" w14:textId="77777777" w:rsidR="00C20C06" w:rsidRDefault="00C20C06">
      <w:pPr>
        <w:spacing w:before="120" w:after="0" w:line="240" w:lineRule="auto"/>
        <w:ind w:right="119"/>
        <w:jc w:val="both"/>
        <w:rPr>
          <w:rFonts w:eastAsia="Times New Roman" w:cstheme="minorHAnsi"/>
          <w:color w:val="000000"/>
          <w:sz w:val="26"/>
          <w:szCs w:val="26"/>
          <w:lang w:eastAsia="pt-BR"/>
        </w:rPr>
      </w:pPr>
    </w:p>
    <w:p w14:paraId="245DB384" w14:textId="77777777" w:rsidR="00C20C06" w:rsidRDefault="006D74F8">
      <w:pPr>
        <w:spacing w:before="120" w:after="0" w:line="240" w:lineRule="auto"/>
        <w:ind w:right="119" w:firstLine="708"/>
        <w:jc w:val="both"/>
        <w:rPr>
          <w:rFonts w:eastAsia="Times New Roman" w:cstheme="minorHAnsi"/>
          <w:color w:val="000000"/>
          <w:sz w:val="26"/>
          <w:szCs w:val="26"/>
          <w:lang w:eastAsia="pt-BR"/>
        </w:rPr>
      </w:pPr>
      <w:r>
        <w:rPr>
          <w:rFonts w:eastAsia="Times New Roman" w:cstheme="minorHAnsi"/>
          <w:b/>
          <w:color w:val="000000"/>
          <w:sz w:val="26"/>
          <w:szCs w:val="26"/>
          <w:lang w:eastAsia="pt-BR"/>
        </w:rPr>
        <w:t>Área 1</w:t>
      </w:r>
      <w:r>
        <w:rPr>
          <w:rFonts w:eastAsia="Times New Roman" w:cstheme="minorHAnsi"/>
          <w:color w:val="000000"/>
          <w:sz w:val="26"/>
          <w:szCs w:val="26"/>
          <w:lang w:eastAsia="pt-BR"/>
        </w:rPr>
        <w:t xml:space="preserve"> = </w:t>
      </w:r>
      <w:r>
        <w:rPr>
          <w:rFonts w:eastAsia="Times New Roman" w:cstheme="minorHAnsi"/>
          <w:b/>
          <w:color w:val="000000"/>
          <w:sz w:val="26"/>
          <w:szCs w:val="26"/>
          <w:lang w:eastAsia="pt-BR"/>
        </w:rPr>
        <w:t>6,1920 ha</w:t>
      </w:r>
      <w:r>
        <w:rPr>
          <w:rFonts w:eastAsia="Times New Roman" w:cstheme="minorHAnsi"/>
          <w:color w:val="000000"/>
          <w:sz w:val="26"/>
          <w:szCs w:val="26"/>
          <w:lang w:eastAsia="pt-BR"/>
        </w:rPr>
        <w:t xml:space="preserve">, localizada na propriedade denominada Bairro </w:t>
      </w:r>
      <w:proofErr w:type="spellStart"/>
      <w:r>
        <w:rPr>
          <w:rFonts w:eastAsia="Times New Roman" w:cstheme="minorHAnsi"/>
          <w:color w:val="000000"/>
          <w:sz w:val="26"/>
          <w:szCs w:val="26"/>
          <w:lang w:eastAsia="pt-BR"/>
        </w:rPr>
        <w:t>Manguara</w:t>
      </w:r>
      <w:proofErr w:type="spellEnd"/>
      <w:r>
        <w:rPr>
          <w:rFonts w:eastAsia="Times New Roman" w:cstheme="minorHAnsi"/>
          <w:color w:val="000000"/>
          <w:sz w:val="26"/>
          <w:szCs w:val="26"/>
          <w:lang w:eastAsia="pt-BR"/>
        </w:rPr>
        <w:t xml:space="preserve">, situada no município de </w:t>
      </w:r>
      <w:proofErr w:type="spellStart"/>
      <w:r>
        <w:rPr>
          <w:rFonts w:eastAsia="Times New Roman" w:cstheme="minorHAnsi"/>
          <w:color w:val="000000"/>
          <w:sz w:val="26"/>
          <w:szCs w:val="26"/>
          <w:lang w:eastAsia="pt-BR"/>
        </w:rPr>
        <w:t>Itamonte</w:t>
      </w:r>
      <w:proofErr w:type="spellEnd"/>
      <w:r>
        <w:rPr>
          <w:rFonts w:eastAsia="Times New Roman" w:cstheme="minorHAnsi"/>
          <w:color w:val="000000"/>
          <w:sz w:val="26"/>
          <w:szCs w:val="26"/>
          <w:lang w:eastAsia="pt-BR"/>
        </w:rPr>
        <w:t xml:space="preserve">, registrada sob número 9.193, Livro 2, na Comarca de </w:t>
      </w:r>
      <w:proofErr w:type="spellStart"/>
      <w:r>
        <w:rPr>
          <w:rFonts w:eastAsia="Times New Roman" w:cstheme="minorHAnsi"/>
          <w:color w:val="000000"/>
          <w:sz w:val="26"/>
          <w:szCs w:val="26"/>
          <w:lang w:eastAsia="pt-BR"/>
        </w:rPr>
        <w:t>Itamonte</w:t>
      </w:r>
      <w:proofErr w:type="spellEnd"/>
      <w:r>
        <w:rPr>
          <w:rFonts w:eastAsia="Times New Roman" w:cstheme="minorHAnsi"/>
          <w:color w:val="000000"/>
          <w:sz w:val="26"/>
          <w:szCs w:val="26"/>
          <w:lang w:eastAsia="pt-BR"/>
        </w:rPr>
        <w:t xml:space="preserve">, inserida parcialmente dentro dos limites do Parque Estadual Serra do Papagaio, com área total de 11,5694 ha, correspondendo a área de </w:t>
      </w:r>
      <w:r>
        <w:rPr>
          <w:rFonts w:eastAsia="Times New Roman" w:cstheme="minorHAnsi"/>
          <w:b/>
          <w:color w:val="000000"/>
          <w:sz w:val="26"/>
          <w:szCs w:val="26"/>
          <w:lang w:eastAsia="pt-BR"/>
        </w:rPr>
        <w:t>6,1920 ha</w:t>
      </w:r>
      <w:r>
        <w:rPr>
          <w:rFonts w:eastAsia="Times New Roman" w:cstheme="minorHAnsi"/>
          <w:color w:val="000000"/>
          <w:sz w:val="26"/>
          <w:szCs w:val="26"/>
          <w:lang w:eastAsia="pt-BR"/>
        </w:rPr>
        <w:t xml:space="preserve">, porém para efeitos de somatório de área devida, a área computada para esse processo será de </w:t>
      </w:r>
      <w:r>
        <w:rPr>
          <w:rFonts w:eastAsia="Times New Roman" w:cstheme="minorHAnsi"/>
          <w:b/>
          <w:color w:val="000000"/>
          <w:sz w:val="26"/>
          <w:szCs w:val="26"/>
          <w:lang w:eastAsia="pt-BR"/>
        </w:rPr>
        <w:t>6,0679ha</w:t>
      </w:r>
      <w:r>
        <w:rPr>
          <w:rFonts w:eastAsia="Times New Roman" w:cstheme="minorHAnsi"/>
          <w:color w:val="000000"/>
          <w:sz w:val="26"/>
          <w:szCs w:val="26"/>
          <w:lang w:eastAsia="pt-BR"/>
        </w:rPr>
        <w:t>, pois uma pequena parte da área encontra se fora dos limites do PESP.</w:t>
      </w:r>
    </w:p>
    <w:p w14:paraId="39BC8E1E" w14:textId="77777777" w:rsidR="00C20C06" w:rsidRDefault="00C20C06">
      <w:pPr>
        <w:spacing w:after="0" w:line="240" w:lineRule="auto"/>
        <w:rPr>
          <w:highlight w:val="yellow"/>
          <w:lang w:eastAsia="pt-BR"/>
        </w:rPr>
      </w:pPr>
    </w:p>
    <w:p w14:paraId="11A4F376" w14:textId="77777777" w:rsidR="00C20C06" w:rsidRDefault="006D74F8">
      <w:pPr>
        <w:spacing w:after="0" w:line="240" w:lineRule="auto"/>
        <w:rPr>
          <w:highlight w:val="yellow"/>
          <w:lang w:eastAsia="pt-BR"/>
        </w:rPr>
      </w:pPr>
      <w:r>
        <w:rPr>
          <w:noProof/>
          <w:lang w:eastAsia="pt-BR"/>
        </w:rPr>
        <w:drawing>
          <wp:inline distT="0" distB="0" distL="0" distR="0" wp14:anchorId="5EBD56D7" wp14:editId="20B96B98">
            <wp:extent cx="5400040" cy="3037205"/>
            <wp:effectExtent l="0" t="0" r="0" b="0"/>
            <wp:docPr id="1" name="Imagem 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1"/>
                    <a:stretch>
                      <a:fillRect/>
                    </a:stretch>
                  </pic:blipFill>
                  <pic:spPr>
                    <a:xfrm>
                      <a:off x="0" y="0"/>
                      <a:ext cx="5400040" cy="3037205"/>
                    </a:xfrm>
                    <a:prstGeom prst="rect">
                      <a:avLst/>
                    </a:prstGeom>
                  </pic:spPr>
                </pic:pic>
              </a:graphicData>
            </a:graphic>
          </wp:inline>
        </w:drawing>
      </w:r>
    </w:p>
    <w:p w14:paraId="001CB230" w14:textId="77777777" w:rsidR="00C20C06" w:rsidRDefault="006D74F8">
      <w:pPr>
        <w:spacing w:after="0" w:line="240" w:lineRule="auto"/>
        <w:rPr>
          <w:lang w:eastAsia="pt-BR"/>
        </w:rPr>
      </w:pPr>
      <w:r>
        <w:rPr>
          <w:lang w:eastAsia="pt-BR"/>
        </w:rPr>
        <w:lastRenderedPageBreak/>
        <w:t>Imagem 4: Área 1</w:t>
      </w:r>
      <w:r>
        <w:t xml:space="preserve">, </w:t>
      </w:r>
      <w:r>
        <w:rPr>
          <w:lang w:eastAsia="pt-BR"/>
        </w:rPr>
        <w:t xml:space="preserve">polígono em azul com área de 6,1920 ha </w:t>
      </w:r>
      <w:r>
        <w:t>e limites do PESP (linha em verde)</w:t>
      </w:r>
      <w:r>
        <w:rPr>
          <w:lang w:eastAsia="pt-BR"/>
        </w:rPr>
        <w:t xml:space="preserve">, detalhando que uma pequena parte será </w:t>
      </w:r>
      <w:proofErr w:type="gramStart"/>
      <w:r>
        <w:rPr>
          <w:lang w:eastAsia="pt-BR"/>
        </w:rPr>
        <w:t>doada</w:t>
      </w:r>
      <w:proofErr w:type="gramEnd"/>
      <w:r>
        <w:rPr>
          <w:lang w:eastAsia="pt-BR"/>
        </w:rPr>
        <w:t xml:space="preserve"> entretanto não contabilizada para efeitos de compensação, por estar fora dos limites do PESP.</w:t>
      </w:r>
    </w:p>
    <w:p w14:paraId="67EC9761" w14:textId="77777777" w:rsidR="00C20C06" w:rsidRDefault="00C20C06">
      <w:pPr>
        <w:spacing w:after="0" w:line="240" w:lineRule="auto"/>
        <w:rPr>
          <w:highlight w:val="yellow"/>
          <w:lang w:eastAsia="pt-BR"/>
        </w:rPr>
      </w:pPr>
    </w:p>
    <w:p w14:paraId="7A784A10"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Conforme certidões de registro apresentadas, cujos memoriais descritivos se encontram nos autos do processo, juntamente com devida ART. </w:t>
      </w:r>
    </w:p>
    <w:p w14:paraId="73BE50A1" w14:textId="77777777" w:rsidR="00C20C06" w:rsidRDefault="006D74F8">
      <w:pPr>
        <w:spacing w:before="120" w:after="120" w:line="240" w:lineRule="auto"/>
        <w:ind w:right="120"/>
        <w:jc w:val="both"/>
        <w:rPr>
          <w:rFonts w:eastAsia="Times New Roman" w:cstheme="minorHAnsi"/>
          <w:color w:val="000000"/>
          <w:sz w:val="26"/>
          <w:szCs w:val="26"/>
          <w:lang w:val="en-US" w:eastAsia="pt-BR"/>
        </w:rPr>
      </w:pPr>
      <w:r>
        <w:rPr>
          <w:rFonts w:eastAsia="Times New Roman" w:cstheme="minorHAnsi"/>
          <w:color w:val="000000"/>
          <w:sz w:val="26"/>
          <w:szCs w:val="26"/>
          <w:lang w:eastAsia="pt-BR"/>
        </w:rPr>
        <w:t>Esta área se encontra em nome da</w:t>
      </w:r>
      <w:r>
        <w:rPr>
          <w:rFonts w:eastAsia="Times New Roman" w:cstheme="minorHAnsi"/>
          <w:b/>
          <w:color w:val="000000"/>
          <w:sz w:val="26"/>
          <w:szCs w:val="26"/>
          <w:lang w:eastAsia="pt-BR"/>
        </w:rPr>
        <w:t xml:space="preserve"> Mosaico de São Tomé Ltda ME e Olímpio Ferreira de Andrade e Cia Ltda, </w:t>
      </w:r>
      <w:r>
        <w:rPr>
          <w:rFonts w:eastAsia="Times New Roman" w:cstheme="minorHAnsi"/>
          <w:color w:val="000000"/>
          <w:sz w:val="26"/>
          <w:szCs w:val="26"/>
          <w:lang w:eastAsia="pt-BR"/>
        </w:rPr>
        <w:t xml:space="preserve">sendo a área proposta para atendimento à Compensação Florestal Minerária previstas no Art. 75 da Lei 20.922/2013, tratam-se de uma gleba conforme citado acima, de uma matrícula com área total </w:t>
      </w:r>
      <w:r>
        <w:rPr>
          <w:rFonts w:eastAsia="Times New Roman" w:cstheme="minorHAnsi"/>
          <w:b/>
          <w:color w:val="000000"/>
          <w:sz w:val="26"/>
          <w:szCs w:val="26"/>
          <w:lang w:eastAsia="pt-BR"/>
        </w:rPr>
        <w:t>de 11,5694 hectares</w:t>
      </w:r>
      <w:r>
        <w:rPr>
          <w:rFonts w:eastAsia="Times New Roman" w:cstheme="minorHAnsi"/>
          <w:color w:val="000000"/>
          <w:sz w:val="26"/>
          <w:szCs w:val="26"/>
          <w:lang w:eastAsia="pt-BR"/>
        </w:rPr>
        <w:t>, inserida em quase sua totalidade no Parque Estadual da Serra do Papagaio</w:t>
      </w:r>
      <w:r>
        <w:rPr>
          <w:rFonts w:eastAsia="Times New Roman" w:cstheme="minorHAnsi"/>
          <w:color w:val="000000"/>
          <w:sz w:val="26"/>
          <w:szCs w:val="26"/>
          <w:lang w:val="en-US" w:eastAsia="pt-BR"/>
        </w:rPr>
        <w:t>.</w:t>
      </w:r>
    </w:p>
    <w:p w14:paraId="67282466" w14:textId="77777777" w:rsidR="00C20C06" w:rsidRDefault="006D74F8">
      <w:pPr>
        <w:spacing w:before="120" w:after="0" w:line="240" w:lineRule="auto"/>
        <w:ind w:right="119"/>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Localizada na bacia hidrográfica Rio Grande, no Bioma Mata Atlântica e características </w:t>
      </w:r>
      <w:proofErr w:type="spellStart"/>
      <w:r>
        <w:rPr>
          <w:rFonts w:eastAsia="Times New Roman" w:cstheme="minorHAnsi"/>
          <w:color w:val="000000"/>
          <w:sz w:val="26"/>
          <w:szCs w:val="26"/>
          <w:lang w:eastAsia="pt-BR"/>
        </w:rPr>
        <w:t>vegetacionais</w:t>
      </w:r>
      <w:proofErr w:type="spellEnd"/>
      <w:r>
        <w:rPr>
          <w:rFonts w:eastAsia="Times New Roman" w:cstheme="minorHAnsi"/>
          <w:color w:val="000000"/>
          <w:sz w:val="26"/>
          <w:szCs w:val="26"/>
          <w:lang w:eastAsia="pt-BR"/>
        </w:rPr>
        <w:t xml:space="preserve"> identificada na imagem IDE abaixo. </w:t>
      </w:r>
    </w:p>
    <w:p w14:paraId="0A095D43" w14:textId="77777777" w:rsidR="00C20C06" w:rsidRDefault="00C20C06">
      <w:pPr>
        <w:spacing w:before="120" w:after="0" w:line="240" w:lineRule="auto"/>
        <w:ind w:right="119"/>
        <w:jc w:val="both"/>
        <w:rPr>
          <w:rFonts w:eastAsia="Times New Roman" w:cstheme="minorHAnsi"/>
          <w:color w:val="000000"/>
          <w:sz w:val="26"/>
          <w:szCs w:val="26"/>
          <w:lang w:eastAsia="pt-BR"/>
        </w:rPr>
      </w:pPr>
    </w:p>
    <w:p w14:paraId="244B7EA7" w14:textId="77777777" w:rsidR="00C20C06" w:rsidRDefault="006D74F8">
      <w:pPr>
        <w:spacing w:before="120" w:after="0" w:line="240" w:lineRule="auto"/>
        <w:ind w:right="119"/>
        <w:jc w:val="both"/>
        <w:rPr>
          <w:rFonts w:eastAsia="Times New Roman" w:cstheme="minorHAnsi"/>
          <w:color w:val="000000"/>
          <w:sz w:val="26"/>
          <w:szCs w:val="26"/>
          <w:lang w:eastAsia="pt-BR"/>
        </w:rPr>
      </w:pPr>
      <w:r>
        <w:rPr>
          <w:noProof/>
          <w:lang w:eastAsia="pt-BR"/>
        </w:rPr>
        <w:drawing>
          <wp:inline distT="0" distB="0" distL="0" distR="0" wp14:anchorId="046178DE" wp14:editId="2A669D8A">
            <wp:extent cx="5400040" cy="3037205"/>
            <wp:effectExtent l="0" t="0" r="0" b="0"/>
            <wp:docPr id="6" name="Imagem 6"/>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2"/>
                    <a:stretch>
                      <a:fillRect/>
                    </a:stretch>
                  </pic:blipFill>
                  <pic:spPr>
                    <a:xfrm>
                      <a:off x="0" y="0"/>
                      <a:ext cx="5400040" cy="3037205"/>
                    </a:xfrm>
                    <a:prstGeom prst="rect">
                      <a:avLst/>
                    </a:prstGeom>
                  </pic:spPr>
                </pic:pic>
              </a:graphicData>
            </a:graphic>
          </wp:inline>
        </w:drawing>
      </w:r>
    </w:p>
    <w:p w14:paraId="7F467FB1" w14:textId="77777777" w:rsidR="00C20C06" w:rsidRDefault="006D74F8">
      <w:pPr>
        <w:spacing w:after="0" w:line="240" w:lineRule="auto"/>
        <w:rPr>
          <w:lang w:eastAsia="pt-BR"/>
        </w:rPr>
      </w:pPr>
      <w:r>
        <w:rPr>
          <w:lang w:eastAsia="pt-BR"/>
        </w:rPr>
        <w:t>Imagem 5: Á</w:t>
      </w:r>
      <w:r>
        <w:rPr>
          <w:rFonts w:eastAsia="Times New Roman" w:cstheme="minorHAnsi"/>
          <w:color w:val="000000"/>
          <w:lang w:eastAsia="pt-BR"/>
        </w:rPr>
        <w:t>rea 1</w:t>
      </w:r>
      <w:r>
        <w:rPr>
          <w:rFonts w:eastAsia="Times New Roman" w:cstheme="minorHAnsi"/>
          <w:color w:val="000000"/>
          <w:sz w:val="26"/>
          <w:szCs w:val="26"/>
          <w:lang w:eastAsia="pt-BR"/>
        </w:rPr>
        <w:t xml:space="preserve"> </w:t>
      </w:r>
      <w:r>
        <w:t>proposta para doação, sendo 100% com fitofisionomia de floresta Atlântica</w:t>
      </w:r>
      <w:r>
        <w:rPr>
          <w:lang w:eastAsia="pt-BR"/>
        </w:rPr>
        <w:t>.</w:t>
      </w:r>
    </w:p>
    <w:p w14:paraId="4E9D9DE3" w14:textId="77777777" w:rsidR="00C20C06" w:rsidRDefault="00C20C06">
      <w:pPr>
        <w:spacing w:after="0" w:line="240" w:lineRule="auto"/>
        <w:rPr>
          <w:highlight w:val="yellow"/>
          <w:lang w:eastAsia="pt-BR"/>
        </w:rPr>
      </w:pPr>
    </w:p>
    <w:p w14:paraId="0FBEFF95" w14:textId="77777777" w:rsidR="00C20C06" w:rsidRDefault="00C20C06">
      <w:pPr>
        <w:spacing w:after="0" w:line="240" w:lineRule="auto"/>
        <w:rPr>
          <w:highlight w:val="yellow"/>
          <w:lang w:eastAsia="pt-BR"/>
        </w:rPr>
      </w:pPr>
    </w:p>
    <w:p w14:paraId="2D5FC31C" w14:textId="77777777" w:rsidR="00C20C06" w:rsidRDefault="006D74F8">
      <w:pPr>
        <w:spacing w:before="120" w:after="120" w:line="240" w:lineRule="auto"/>
        <w:ind w:right="120" w:firstLine="708"/>
        <w:jc w:val="both"/>
        <w:rPr>
          <w:rFonts w:eastAsia="Times New Roman" w:cstheme="minorHAnsi"/>
          <w:color w:val="000000"/>
          <w:sz w:val="26"/>
          <w:szCs w:val="26"/>
        </w:rPr>
      </w:pPr>
      <w:r>
        <w:rPr>
          <w:rFonts w:eastAsia="Times New Roman" w:cstheme="minorHAnsi"/>
          <w:b/>
          <w:color w:val="000000"/>
          <w:sz w:val="26"/>
          <w:szCs w:val="26"/>
        </w:rPr>
        <w:t xml:space="preserve">Área 2 </w:t>
      </w:r>
      <w:proofErr w:type="gramStart"/>
      <w:r>
        <w:rPr>
          <w:rFonts w:eastAsia="Times New Roman" w:cstheme="minorHAnsi"/>
          <w:b/>
          <w:color w:val="000000"/>
          <w:sz w:val="26"/>
          <w:szCs w:val="26"/>
        </w:rPr>
        <w:t>=  11</w:t>
      </w:r>
      <w:proofErr w:type="gramEnd"/>
      <w:r>
        <w:rPr>
          <w:rFonts w:eastAsia="Times New Roman" w:cstheme="minorHAnsi"/>
          <w:b/>
          <w:color w:val="000000"/>
          <w:sz w:val="26"/>
          <w:szCs w:val="26"/>
        </w:rPr>
        <w:t>,2671 ha</w:t>
      </w:r>
      <w:r>
        <w:rPr>
          <w:rFonts w:eastAsia="Times New Roman" w:cstheme="minorHAnsi"/>
          <w:color w:val="000000"/>
          <w:sz w:val="26"/>
          <w:szCs w:val="26"/>
        </w:rPr>
        <w:t xml:space="preserve">, </w:t>
      </w:r>
      <w:r>
        <w:rPr>
          <w:rFonts w:eastAsia="Times New Roman" w:cstheme="minorHAnsi"/>
          <w:color w:val="000000"/>
          <w:sz w:val="26"/>
          <w:szCs w:val="26"/>
          <w:lang w:eastAsia="pt-BR"/>
        </w:rPr>
        <w:t xml:space="preserve">localizada </w:t>
      </w:r>
      <w:r>
        <w:rPr>
          <w:rFonts w:eastAsia="Times New Roman" w:cstheme="minorHAnsi"/>
          <w:color w:val="000000"/>
          <w:sz w:val="26"/>
          <w:szCs w:val="26"/>
        </w:rPr>
        <w:t xml:space="preserve">em uma propriedade denominada Campo Santo Antônio (ou Campo do Santo Antônio), matrícula número 21.734, município de </w:t>
      </w:r>
      <w:r>
        <w:rPr>
          <w:rFonts w:eastAsia="Times New Roman" w:cstheme="minorHAnsi"/>
          <w:b/>
          <w:color w:val="000000"/>
          <w:sz w:val="26"/>
          <w:szCs w:val="26"/>
        </w:rPr>
        <w:t>Baependi</w:t>
      </w:r>
      <w:r>
        <w:rPr>
          <w:rFonts w:eastAsia="Times New Roman" w:cstheme="minorHAnsi"/>
          <w:color w:val="000000"/>
          <w:sz w:val="26"/>
          <w:szCs w:val="26"/>
        </w:rPr>
        <w:t>, certidão de registro do cartório de Baependi.</w:t>
      </w:r>
    </w:p>
    <w:p w14:paraId="4DCCC3B1" w14:textId="77777777" w:rsidR="00C20C06" w:rsidRDefault="006D74F8">
      <w:pPr>
        <w:spacing w:before="120" w:after="120" w:line="240" w:lineRule="auto"/>
        <w:ind w:right="120"/>
        <w:jc w:val="both"/>
        <w:rPr>
          <w:rFonts w:eastAsia="Times New Roman" w:cstheme="minorHAnsi"/>
          <w:color w:val="000000"/>
          <w:sz w:val="26"/>
          <w:szCs w:val="26"/>
          <w:lang w:val="en-US" w:eastAsia="pt-BR"/>
        </w:rPr>
      </w:pPr>
      <w:r>
        <w:rPr>
          <w:rFonts w:eastAsia="Times New Roman" w:cstheme="minorHAnsi"/>
          <w:color w:val="000000"/>
          <w:sz w:val="26"/>
          <w:szCs w:val="26"/>
          <w:lang w:eastAsia="pt-BR"/>
        </w:rPr>
        <w:t xml:space="preserve">A área se encontra em nome de </w:t>
      </w:r>
      <w:r>
        <w:rPr>
          <w:rFonts w:eastAsia="Times New Roman" w:cstheme="minorHAnsi"/>
          <w:b/>
          <w:color w:val="000000"/>
          <w:sz w:val="26"/>
          <w:szCs w:val="26"/>
          <w:lang w:eastAsia="pt-BR"/>
        </w:rPr>
        <w:t>Adilson José dos Santos Carvalhal e outros,</w:t>
      </w:r>
      <w:r>
        <w:rPr>
          <w:rFonts w:eastAsia="Times New Roman" w:cstheme="minorHAnsi"/>
          <w:color w:val="000000"/>
          <w:sz w:val="26"/>
          <w:szCs w:val="26"/>
          <w:lang w:eastAsia="pt-BR"/>
        </w:rPr>
        <w:t xml:space="preserve"> sendo a área proposta para atendimento à Compensação Florestal Minerária previstas para os </w:t>
      </w:r>
      <w:r>
        <w:rPr>
          <w:rFonts w:eastAsia="Times New Roman" w:cstheme="minorHAnsi"/>
          <w:color w:val="000000"/>
          <w:sz w:val="26"/>
          <w:szCs w:val="26"/>
          <w:lang w:val="en-US" w:eastAsia="pt-BR"/>
        </w:rPr>
        <w:t>§</w:t>
      </w:r>
      <w:r>
        <w:rPr>
          <w:rFonts w:eastAsia="Times New Roman" w:cstheme="minorHAnsi"/>
          <w:color w:val="000000"/>
          <w:sz w:val="26"/>
          <w:szCs w:val="26"/>
          <w:lang w:eastAsia="pt-BR"/>
        </w:rPr>
        <w:t xml:space="preserve"> 2° do Art. 75 da Lei 20.922/2013, trata-se de uma gleba da matrícula com área total de 19,21 hectares, inserida no Parque Estadual da Serra do Papagaio</w:t>
      </w:r>
      <w:r>
        <w:rPr>
          <w:rFonts w:eastAsia="Times New Roman" w:cstheme="minorHAnsi"/>
          <w:color w:val="000000"/>
          <w:sz w:val="26"/>
          <w:szCs w:val="26"/>
          <w:lang w:val="en-US" w:eastAsia="pt-BR"/>
        </w:rPr>
        <w:t>.</w:t>
      </w:r>
    </w:p>
    <w:p w14:paraId="437C31D2" w14:textId="77777777" w:rsidR="00C20C06" w:rsidRDefault="00C20C06">
      <w:pPr>
        <w:spacing w:before="120" w:after="120" w:line="240" w:lineRule="auto"/>
        <w:ind w:right="120"/>
        <w:jc w:val="both"/>
        <w:rPr>
          <w:rFonts w:eastAsia="Times New Roman" w:cstheme="minorHAnsi"/>
          <w:color w:val="000000"/>
          <w:sz w:val="26"/>
          <w:szCs w:val="26"/>
          <w:lang w:val="en-US" w:eastAsia="pt-BR"/>
        </w:rPr>
      </w:pPr>
    </w:p>
    <w:p w14:paraId="0E901AEF" w14:textId="77777777" w:rsidR="00C20C06" w:rsidRDefault="006D74F8">
      <w:pPr>
        <w:spacing w:before="120" w:after="0" w:line="240" w:lineRule="auto"/>
        <w:ind w:right="119"/>
        <w:jc w:val="both"/>
        <w:rPr>
          <w:rFonts w:eastAsia="Times New Roman" w:cstheme="minorHAnsi"/>
          <w:color w:val="000000"/>
          <w:sz w:val="26"/>
          <w:szCs w:val="26"/>
          <w:highlight w:val="yellow"/>
          <w:lang w:eastAsia="pt-BR"/>
        </w:rPr>
      </w:pPr>
      <w:r>
        <w:rPr>
          <w:noProof/>
          <w:lang w:eastAsia="pt-BR"/>
        </w:rPr>
        <w:lastRenderedPageBreak/>
        <w:drawing>
          <wp:inline distT="0" distB="0" distL="0" distR="0" wp14:anchorId="3DB67626" wp14:editId="1BDF606E">
            <wp:extent cx="5400040" cy="3037205"/>
            <wp:effectExtent l="0" t="0" r="0" b="0"/>
            <wp:docPr id="10" name="Imagem 10"/>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3"/>
                    <a:stretch>
                      <a:fillRect/>
                    </a:stretch>
                  </pic:blipFill>
                  <pic:spPr>
                    <a:xfrm>
                      <a:off x="0" y="0"/>
                      <a:ext cx="5400040" cy="3037205"/>
                    </a:xfrm>
                    <a:prstGeom prst="rect">
                      <a:avLst/>
                    </a:prstGeom>
                  </pic:spPr>
                </pic:pic>
              </a:graphicData>
            </a:graphic>
          </wp:inline>
        </w:drawing>
      </w:r>
    </w:p>
    <w:p w14:paraId="49660DE7" w14:textId="77777777" w:rsidR="00C20C06" w:rsidRDefault="006D74F8">
      <w:pPr>
        <w:spacing w:after="0" w:line="240" w:lineRule="auto"/>
        <w:rPr>
          <w:lang w:eastAsia="pt-BR"/>
        </w:rPr>
      </w:pPr>
      <w:r>
        <w:rPr>
          <w:lang w:eastAsia="pt-BR"/>
        </w:rPr>
        <w:t>Imagem 6: Área 2</w:t>
      </w:r>
      <w:r>
        <w:t xml:space="preserve">, </w:t>
      </w:r>
      <w:r>
        <w:rPr>
          <w:lang w:eastAsia="pt-BR"/>
        </w:rPr>
        <w:t xml:space="preserve">polígono em azul com área de 11,2671ha </w:t>
      </w:r>
      <w:r>
        <w:t>e limites do PESP (linha em verde ao canto direito à baixo)</w:t>
      </w:r>
      <w:r>
        <w:rPr>
          <w:lang w:eastAsia="pt-BR"/>
        </w:rPr>
        <w:t xml:space="preserve"> </w:t>
      </w:r>
    </w:p>
    <w:p w14:paraId="6B3030E8" w14:textId="77777777" w:rsidR="00C20C06" w:rsidRDefault="00C20C06">
      <w:pPr>
        <w:spacing w:before="120" w:after="120" w:line="240" w:lineRule="auto"/>
        <w:ind w:right="120"/>
        <w:jc w:val="both"/>
        <w:rPr>
          <w:rFonts w:eastAsia="Times New Roman" w:cstheme="minorHAnsi"/>
          <w:color w:val="000000"/>
          <w:sz w:val="26"/>
          <w:szCs w:val="26"/>
          <w:highlight w:val="yellow"/>
          <w:lang w:val="en-US" w:eastAsia="pt-BR"/>
        </w:rPr>
      </w:pPr>
    </w:p>
    <w:p w14:paraId="32D113E4" w14:textId="77777777" w:rsidR="00C20C06" w:rsidRDefault="006D74F8">
      <w:pPr>
        <w:spacing w:before="120" w:after="0" w:line="240" w:lineRule="auto"/>
        <w:ind w:right="119"/>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Esta área proposta se encontra na propriedade Campo do Santo Antônio, estando localizado na bacia hidrográfica Rio Grande, no Bioma Mata Atlântica e características </w:t>
      </w:r>
      <w:proofErr w:type="spellStart"/>
      <w:r>
        <w:rPr>
          <w:rFonts w:eastAsia="Times New Roman" w:cstheme="minorHAnsi"/>
          <w:color w:val="000000"/>
          <w:sz w:val="26"/>
          <w:szCs w:val="26"/>
          <w:lang w:eastAsia="pt-BR"/>
        </w:rPr>
        <w:t>vegetacionais</w:t>
      </w:r>
      <w:proofErr w:type="spellEnd"/>
      <w:r>
        <w:rPr>
          <w:rFonts w:eastAsia="Times New Roman" w:cstheme="minorHAnsi"/>
          <w:color w:val="000000"/>
          <w:sz w:val="26"/>
          <w:szCs w:val="26"/>
          <w:lang w:eastAsia="pt-BR"/>
        </w:rPr>
        <w:t xml:space="preserve"> identificada na imagem IDE abaixo. </w:t>
      </w:r>
    </w:p>
    <w:p w14:paraId="19F4E2FA" w14:textId="77777777" w:rsidR="00C20C06" w:rsidRDefault="00C20C06">
      <w:pPr>
        <w:spacing w:before="120" w:after="0" w:line="240" w:lineRule="auto"/>
        <w:ind w:right="119"/>
        <w:jc w:val="both"/>
        <w:rPr>
          <w:rFonts w:eastAsia="Times New Roman" w:cstheme="minorHAnsi"/>
          <w:color w:val="000000"/>
          <w:sz w:val="26"/>
          <w:szCs w:val="26"/>
          <w:lang w:eastAsia="pt-BR"/>
        </w:rPr>
      </w:pPr>
    </w:p>
    <w:p w14:paraId="62B45FCB" w14:textId="77777777" w:rsidR="00C20C06" w:rsidRDefault="006D74F8">
      <w:pPr>
        <w:spacing w:before="120" w:after="0" w:line="240" w:lineRule="auto"/>
        <w:ind w:right="119"/>
        <w:jc w:val="both"/>
        <w:rPr>
          <w:rFonts w:eastAsia="Times New Roman" w:cstheme="minorHAnsi"/>
          <w:color w:val="FF0000"/>
          <w:sz w:val="26"/>
          <w:szCs w:val="26"/>
          <w:highlight w:val="yellow"/>
          <w:lang w:eastAsia="pt-BR"/>
        </w:rPr>
      </w:pPr>
      <w:r>
        <w:rPr>
          <w:noProof/>
          <w:lang w:eastAsia="pt-BR"/>
        </w:rPr>
        <w:drawing>
          <wp:inline distT="0" distB="0" distL="0" distR="0" wp14:anchorId="63832085" wp14:editId="38836FE0">
            <wp:extent cx="5400040" cy="3037205"/>
            <wp:effectExtent l="0" t="0" r="0" b="0"/>
            <wp:docPr id="13" name="Imagem 13"/>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14"/>
                    <a:stretch>
                      <a:fillRect/>
                    </a:stretch>
                  </pic:blipFill>
                  <pic:spPr>
                    <a:xfrm>
                      <a:off x="0" y="0"/>
                      <a:ext cx="5400040" cy="3037205"/>
                    </a:xfrm>
                    <a:prstGeom prst="rect">
                      <a:avLst/>
                    </a:prstGeom>
                  </pic:spPr>
                </pic:pic>
              </a:graphicData>
            </a:graphic>
          </wp:inline>
        </w:drawing>
      </w:r>
    </w:p>
    <w:p w14:paraId="3CCBD9D2" w14:textId="77777777" w:rsidR="00C20C06" w:rsidRDefault="006D74F8">
      <w:pPr>
        <w:spacing w:after="0" w:line="240" w:lineRule="auto"/>
        <w:rPr>
          <w:lang w:eastAsia="pt-BR"/>
        </w:rPr>
      </w:pPr>
      <w:r>
        <w:rPr>
          <w:lang w:eastAsia="pt-BR"/>
        </w:rPr>
        <w:t>Imagem 7:  Á</w:t>
      </w:r>
      <w:r>
        <w:rPr>
          <w:rFonts w:eastAsia="Times New Roman" w:cstheme="minorHAnsi"/>
          <w:color w:val="000000"/>
          <w:lang w:eastAsia="pt-BR"/>
        </w:rPr>
        <w:t>rea 2</w:t>
      </w:r>
      <w:r>
        <w:rPr>
          <w:rFonts w:eastAsia="Times New Roman" w:cstheme="minorHAnsi"/>
          <w:color w:val="000000"/>
          <w:sz w:val="26"/>
          <w:szCs w:val="26"/>
          <w:lang w:eastAsia="pt-BR"/>
        </w:rPr>
        <w:t xml:space="preserve"> </w:t>
      </w:r>
      <w:r>
        <w:t xml:space="preserve">proposta para doação, inserida totalmente dentro dos limites do PESP, sendo aproximadamente 20% em formação de floresta Atlântica e 80% em refúgio </w:t>
      </w:r>
      <w:proofErr w:type="spellStart"/>
      <w:r>
        <w:t>vegetacional</w:t>
      </w:r>
      <w:proofErr w:type="spellEnd"/>
      <w:r>
        <w:t xml:space="preserve"> (campo de altitude)</w:t>
      </w:r>
      <w:r>
        <w:rPr>
          <w:lang w:eastAsia="pt-BR"/>
        </w:rPr>
        <w:t>.</w:t>
      </w:r>
    </w:p>
    <w:p w14:paraId="7370166B" w14:textId="77777777" w:rsidR="00C20C06" w:rsidRDefault="00C20C06">
      <w:pPr>
        <w:spacing w:before="120" w:after="0" w:line="240" w:lineRule="auto"/>
        <w:ind w:right="119"/>
        <w:jc w:val="both"/>
        <w:rPr>
          <w:rFonts w:eastAsia="Times New Roman" w:cstheme="minorHAnsi"/>
          <w:color w:val="000000"/>
          <w:sz w:val="26"/>
          <w:szCs w:val="26"/>
          <w:highlight w:val="yellow"/>
          <w:lang w:eastAsia="pt-BR"/>
        </w:rPr>
      </w:pPr>
    </w:p>
    <w:p w14:paraId="2E18EB80"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lastRenderedPageBreak/>
        <w:t xml:space="preserve">Ressaltamos, a título de lembrança, que o Parque Estadual da Serra do Papagaio teve seus limites alterados, estando seu novo limite registrado no sistema </w:t>
      </w:r>
      <w:proofErr w:type="gramStart"/>
      <w:r>
        <w:rPr>
          <w:rFonts w:eastAsia="Times New Roman" w:cstheme="minorHAnsi"/>
          <w:color w:val="000000"/>
          <w:sz w:val="26"/>
          <w:szCs w:val="26"/>
          <w:lang w:eastAsia="pt-BR"/>
        </w:rPr>
        <w:t>IDE, sendo</w:t>
      </w:r>
      <w:proofErr w:type="gramEnd"/>
      <w:r>
        <w:rPr>
          <w:rFonts w:eastAsia="Times New Roman" w:cstheme="minorHAnsi"/>
          <w:color w:val="000000"/>
          <w:sz w:val="26"/>
          <w:szCs w:val="26"/>
          <w:lang w:eastAsia="pt-BR"/>
        </w:rPr>
        <w:t xml:space="preserve"> acrescentado aproximadamente 5,7 mil hectares e retirado outros 2,8 mil hectares. Com a modificação, onde passou a ter 25.872,7016 hectares. </w:t>
      </w:r>
    </w:p>
    <w:p w14:paraId="0D0F653F"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Esta alteração se deu efetivada em 6 de JANEIRO de 2021, LEI Nº 23.774, onde dispõe sobre a alteração dos limites da área do Parque Estadual da Serra do Papagaio, localizado nos municípios de Aiuruoca, Alagoa, Baependi, </w:t>
      </w:r>
      <w:proofErr w:type="spellStart"/>
      <w:r>
        <w:rPr>
          <w:rFonts w:eastAsia="Times New Roman" w:cstheme="minorHAnsi"/>
          <w:color w:val="000000"/>
          <w:sz w:val="26"/>
          <w:szCs w:val="26"/>
          <w:lang w:eastAsia="pt-BR"/>
        </w:rPr>
        <w:t>Itamonte</w:t>
      </w:r>
      <w:proofErr w:type="spellEnd"/>
      <w:r>
        <w:rPr>
          <w:rFonts w:eastAsia="Times New Roman" w:cstheme="minorHAnsi"/>
          <w:color w:val="000000"/>
          <w:sz w:val="26"/>
          <w:szCs w:val="26"/>
          <w:lang w:eastAsia="pt-BR"/>
        </w:rPr>
        <w:t xml:space="preserve"> e Pouso Alto.</w:t>
      </w:r>
    </w:p>
    <w:p w14:paraId="22ABC9E7" w14:textId="77777777" w:rsidR="00C20C06" w:rsidRDefault="00C20C06">
      <w:pPr>
        <w:spacing w:before="120" w:after="120" w:line="240" w:lineRule="auto"/>
        <w:ind w:right="120"/>
        <w:jc w:val="both"/>
        <w:rPr>
          <w:rFonts w:eastAsia="Times New Roman" w:cstheme="minorHAnsi"/>
          <w:color w:val="000000"/>
          <w:sz w:val="26"/>
          <w:szCs w:val="26"/>
          <w:highlight w:val="yellow"/>
          <w:lang w:eastAsia="pt-BR"/>
        </w:rPr>
      </w:pPr>
    </w:p>
    <w:p w14:paraId="336D563F" w14:textId="77777777" w:rsidR="00C20C06" w:rsidRDefault="006D74F8">
      <w:pPr>
        <w:shd w:val="clear" w:color="auto" w:fill="E6E6E6"/>
        <w:spacing w:before="120" w:after="120" w:line="240" w:lineRule="auto"/>
        <w:ind w:left="120" w:right="120"/>
        <w:jc w:val="both"/>
        <w:rPr>
          <w:rFonts w:eastAsia="Times New Roman" w:cstheme="minorHAnsi"/>
          <w:color w:val="000000"/>
          <w:sz w:val="26"/>
          <w:szCs w:val="26"/>
          <w:lang w:eastAsia="pt-BR"/>
        </w:rPr>
      </w:pPr>
      <w:r>
        <w:rPr>
          <w:rFonts w:eastAsia="Times New Roman" w:cstheme="minorHAnsi"/>
          <w:b/>
          <w:bCs/>
          <w:caps/>
          <w:color w:val="000000"/>
          <w:sz w:val="26"/>
          <w:szCs w:val="26"/>
          <w:lang w:eastAsia="pt-BR"/>
        </w:rPr>
        <w:t>5 - AVALIAÇÃO DA PROPOSTA</w:t>
      </w:r>
    </w:p>
    <w:p w14:paraId="049272A0" w14:textId="77777777" w:rsidR="00C20C06" w:rsidRDefault="00C20C06">
      <w:pPr>
        <w:spacing w:before="120" w:after="120" w:line="240" w:lineRule="auto"/>
        <w:ind w:right="120"/>
        <w:jc w:val="both"/>
        <w:rPr>
          <w:rFonts w:eastAsia="Times New Roman" w:cstheme="minorHAnsi"/>
          <w:color w:val="000000"/>
          <w:sz w:val="26"/>
          <w:szCs w:val="26"/>
          <w:lang w:eastAsia="pt-BR"/>
        </w:rPr>
      </w:pPr>
    </w:p>
    <w:p w14:paraId="01441F66"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Conforme já colocado anteriormente, a área proposta trata-se de duas glebas:</w:t>
      </w:r>
    </w:p>
    <w:p w14:paraId="2D75332B" w14:textId="77777777" w:rsidR="00C20C06" w:rsidRDefault="006D74F8">
      <w:pPr>
        <w:spacing w:before="120" w:after="120" w:line="240" w:lineRule="auto"/>
        <w:ind w:right="120" w:firstLine="708"/>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Área 1, com </w:t>
      </w:r>
      <w:r>
        <w:rPr>
          <w:rFonts w:eastAsia="Times New Roman" w:cstheme="minorHAnsi"/>
          <w:b/>
          <w:color w:val="000000"/>
          <w:sz w:val="26"/>
          <w:szCs w:val="26"/>
          <w:lang w:eastAsia="pt-BR"/>
        </w:rPr>
        <w:t>6,1920 hectares</w:t>
      </w:r>
      <w:r>
        <w:rPr>
          <w:rFonts w:eastAsia="Times New Roman" w:cstheme="minorHAnsi"/>
          <w:color w:val="000000"/>
          <w:sz w:val="26"/>
          <w:szCs w:val="26"/>
          <w:lang w:eastAsia="pt-BR"/>
        </w:rPr>
        <w:t xml:space="preserve">, sendo a matrícula identificada como nº </w:t>
      </w:r>
      <w:r>
        <w:rPr>
          <w:rFonts w:eastAsia="Times New Roman" w:cstheme="minorHAnsi"/>
          <w:color w:val="000000"/>
          <w:sz w:val="26"/>
          <w:szCs w:val="26"/>
        </w:rPr>
        <w:t xml:space="preserve">9.193 </w:t>
      </w:r>
      <w:r>
        <w:rPr>
          <w:rFonts w:eastAsia="Times New Roman" w:cstheme="minorHAnsi"/>
          <w:color w:val="000000"/>
          <w:sz w:val="26"/>
          <w:szCs w:val="26"/>
          <w:lang w:eastAsia="pt-BR"/>
        </w:rPr>
        <w:t xml:space="preserve">registrado no cartório de registro de imóveis da comarca de </w:t>
      </w:r>
      <w:proofErr w:type="spellStart"/>
      <w:r>
        <w:rPr>
          <w:rFonts w:eastAsia="Times New Roman" w:cstheme="minorHAnsi"/>
          <w:color w:val="000000"/>
          <w:sz w:val="26"/>
          <w:szCs w:val="26"/>
        </w:rPr>
        <w:t>Itamonte</w:t>
      </w:r>
      <w:proofErr w:type="spellEnd"/>
      <w:r>
        <w:rPr>
          <w:rFonts w:eastAsia="Times New Roman" w:cstheme="minorHAnsi"/>
          <w:color w:val="000000"/>
          <w:sz w:val="26"/>
          <w:szCs w:val="26"/>
          <w:lang w:eastAsia="pt-BR"/>
        </w:rPr>
        <w:t xml:space="preserve">, imóvel denominado </w:t>
      </w:r>
      <w:proofErr w:type="spellStart"/>
      <w:r>
        <w:rPr>
          <w:rFonts w:eastAsia="Times New Roman" w:cstheme="minorHAnsi"/>
          <w:color w:val="000000"/>
          <w:sz w:val="26"/>
          <w:szCs w:val="26"/>
        </w:rPr>
        <w:t>Manguara</w:t>
      </w:r>
      <w:proofErr w:type="spellEnd"/>
      <w:r>
        <w:rPr>
          <w:rFonts w:eastAsia="Times New Roman" w:cstheme="minorHAnsi"/>
          <w:color w:val="000000"/>
          <w:sz w:val="26"/>
          <w:szCs w:val="26"/>
          <w:lang w:eastAsia="pt-BR"/>
        </w:rPr>
        <w:t xml:space="preserve">, localizado no município de </w:t>
      </w:r>
      <w:proofErr w:type="spellStart"/>
      <w:r>
        <w:rPr>
          <w:rFonts w:eastAsia="Times New Roman" w:cstheme="minorHAnsi"/>
          <w:color w:val="000000"/>
          <w:sz w:val="26"/>
          <w:szCs w:val="26"/>
        </w:rPr>
        <w:t>Itamonte</w:t>
      </w:r>
      <w:proofErr w:type="spellEnd"/>
      <w:r>
        <w:rPr>
          <w:rFonts w:eastAsia="Times New Roman" w:cstheme="minorHAnsi"/>
          <w:color w:val="000000"/>
          <w:sz w:val="26"/>
          <w:szCs w:val="26"/>
          <w:lang w:eastAsia="pt-BR"/>
        </w:rPr>
        <w:t xml:space="preserve">, com uma área total de 11,5694 ha, e </w:t>
      </w:r>
    </w:p>
    <w:p w14:paraId="0438CB6C" w14:textId="77777777" w:rsidR="00C20C06" w:rsidRDefault="006D74F8">
      <w:pPr>
        <w:spacing w:before="120" w:after="120" w:line="240" w:lineRule="auto"/>
        <w:ind w:right="120" w:firstLine="708"/>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Área 2 com </w:t>
      </w:r>
      <w:r>
        <w:rPr>
          <w:rFonts w:eastAsia="Times New Roman" w:cstheme="minorHAnsi"/>
          <w:b/>
          <w:color w:val="000000"/>
          <w:sz w:val="26"/>
          <w:szCs w:val="26"/>
        </w:rPr>
        <w:t xml:space="preserve">11,2671 </w:t>
      </w:r>
      <w:r>
        <w:rPr>
          <w:rFonts w:eastAsia="Times New Roman" w:cstheme="minorHAnsi"/>
          <w:b/>
          <w:color w:val="000000"/>
          <w:sz w:val="26"/>
          <w:szCs w:val="26"/>
          <w:lang w:eastAsia="pt-BR"/>
        </w:rPr>
        <w:t>hectares</w:t>
      </w:r>
      <w:r>
        <w:rPr>
          <w:rFonts w:eastAsia="Times New Roman" w:cstheme="minorHAnsi"/>
          <w:color w:val="000000"/>
          <w:sz w:val="26"/>
          <w:szCs w:val="26"/>
          <w:lang w:eastAsia="pt-BR"/>
        </w:rPr>
        <w:t xml:space="preserve">, sendo a matrícula, identificada como nº </w:t>
      </w:r>
      <w:r>
        <w:rPr>
          <w:rFonts w:eastAsia="Times New Roman" w:cstheme="minorHAnsi"/>
          <w:color w:val="000000"/>
          <w:sz w:val="26"/>
          <w:szCs w:val="26"/>
        </w:rPr>
        <w:t xml:space="preserve">21.734 </w:t>
      </w:r>
      <w:r>
        <w:rPr>
          <w:rFonts w:eastAsia="Times New Roman" w:cstheme="minorHAnsi"/>
          <w:color w:val="000000"/>
          <w:sz w:val="26"/>
          <w:szCs w:val="26"/>
          <w:lang w:eastAsia="pt-BR"/>
        </w:rPr>
        <w:t xml:space="preserve">registrado no cartório de registro de imóveis da comarca de </w:t>
      </w:r>
      <w:r>
        <w:rPr>
          <w:rFonts w:eastAsia="Times New Roman" w:cstheme="minorHAnsi"/>
          <w:color w:val="000000"/>
          <w:sz w:val="26"/>
          <w:szCs w:val="26"/>
        </w:rPr>
        <w:t>Baependi</w:t>
      </w:r>
      <w:r>
        <w:rPr>
          <w:rFonts w:eastAsia="Times New Roman" w:cstheme="minorHAnsi"/>
          <w:color w:val="000000"/>
          <w:sz w:val="26"/>
          <w:szCs w:val="26"/>
          <w:lang w:eastAsia="pt-BR"/>
        </w:rPr>
        <w:t xml:space="preserve">, imóvel denominado </w:t>
      </w:r>
      <w:r>
        <w:rPr>
          <w:rFonts w:eastAsia="Times New Roman" w:cstheme="minorHAnsi"/>
          <w:color w:val="000000"/>
          <w:sz w:val="26"/>
          <w:szCs w:val="26"/>
        </w:rPr>
        <w:t>Campo do Anto Antônio</w:t>
      </w:r>
      <w:r>
        <w:rPr>
          <w:rFonts w:eastAsia="Times New Roman" w:cstheme="minorHAnsi"/>
          <w:color w:val="000000"/>
          <w:sz w:val="26"/>
          <w:szCs w:val="26"/>
          <w:lang w:eastAsia="pt-BR"/>
        </w:rPr>
        <w:t xml:space="preserve">, localizado no município de </w:t>
      </w:r>
      <w:r>
        <w:rPr>
          <w:rFonts w:eastAsia="Times New Roman" w:cstheme="minorHAnsi"/>
          <w:color w:val="000000"/>
          <w:sz w:val="26"/>
          <w:szCs w:val="26"/>
        </w:rPr>
        <w:t>Baependi</w:t>
      </w:r>
      <w:r>
        <w:rPr>
          <w:rFonts w:eastAsia="Times New Roman" w:cstheme="minorHAnsi"/>
          <w:color w:val="000000"/>
          <w:sz w:val="26"/>
          <w:szCs w:val="26"/>
          <w:lang w:eastAsia="pt-BR"/>
        </w:rPr>
        <w:t>, com uma área total de 19,21 ha.</w:t>
      </w:r>
    </w:p>
    <w:p w14:paraId="11E0A233"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Sendo apresentado o Cadastro Ambiental Rural - CAR das propriedades </w:t>
      </w:r>
      <w:proofErr w:type="spellStart"/>
      <w:r>
        <w:rPr>
          <w:rFonts w:eastAsia="Times New Roman" w:cstheme="minorHAnsi"/>
          <w:color w:val="000000"/>
          <w:sz w:val="26"/>
          <w:szCs w:val="26"/>
          <w:lang w:eastAsia="pt-BR"/>
        </w:rPr>
        <w:t>Manguara</w:t>
      </w:r>
      <w:proofErr w:type="spellEnd"/>
      <w:r>
        <w:rPr>
          <w:rFonts w:eastAsia="Times New Roman" w:cstheme="minorHAnsi"/>
          <w:color w:val="000000"/>
          <w:sz w:val="26"/>
          <w:szCs w:val="26"/>
          <w:lang w:eastAsia="pt-BR"/>
        </w:rPr>
        <w:t xml:space="preserve"> e Campo do Santo Antônio.</w:t>
      </w:r>
    </w:p>
    <w:p w14:paraId="71BB43F2" w14:textId="77777777" w:rsidR="00C20C06" w:rsidRDefault="00C20C06">
      <w:pPr>
        <w:spacing w:after="0" w:line="240" w:lineRule="auto"/>
        <w:rPr>
          <w:highlight w:val="yellow"/>
          <w:lang w:eastAsia="pt-BR"/>
        </w:rPr>
      </w:pPr>
    </w:p>
    <w:p w14:paraId="382A9310" w14:textId="77777777" w:rsidR="00C20C06" w:rsidRDefault="006D74F8">
      <w:pPr>
        <w:spacing w:after="0" w:line="240" w:lineRule="auto"/>
        <w:ind w:right="120"/>
        <w:jc w:val="both"/>
        <w:rPr>
          <w:rFonts w:eastAsia="Times New Roman" w:cstheme="minorHAnsi"/>
          <w:color w:val="000000"/>
          <w:sz w:val="26"/>
          <w:szCs w:val="26"/>
          <w:lang w:eastAsia="pt-BR"/>
        </w:rPr>
      </w:pPr>
      <w:r>
        <w:rPr>
          <w:rFonts w:eastAsia="Times New Roman" w:cstheme="minorHAnsi"/>
          <w:b/>
          <w:bCs/>
          <w:color w:val="000000"/>
          <w:sz w:val="26"/>
          <w:szCs w:val="26"/>
          <w:lang w:eastAsia="pt-BR"/>
        </w:rPr>
        <w:t xml:space="preserve">Nome da UC: </w:t>
      </w:r>
      <w:r>
        <w:rPr>
          <w:rFonts w:eastAsia="Times New Roman" w:cstheme="minorHAnsi"/>
          <w:color w:val="000000"/>
          <w:sz w:val="26"/>
          <w:szCs w:val="26"/>
          <w:lang w:eastAsia="pt-BR"/>
        </w:rPr>
        <w:t>Parque Estadual da Serra do Papagaio</w:t>
      </w:r>
    </w:p>
    <w:p w14:paraId="54589D82" w14:textId="77777777" w:rsidR="00C20C06" w:rsidRDefault="006D74F8">
      <w:pPr>
        <w:pStyle w:val="PargrafodaLista"/>
        <w:spacing w:after="0" w:line="240" w:lineRule="auto"/>
        <w:ind w:left="0" w:right="20" w:firstLine="0"/>
        <w:rPr>
          <w:sz w:val="22"/>
        </w:rPr>
      </w:pPr>
      <w:r>
        <w:rPr>
          <w:rFonts w:asciiTheme="minorHAnsi" w:eastAsia="Times New Roman" w:hAnsiTheme="minorHAnsi" w:cstheme="minorHAnsi"/>
          <w:b/>
          <w:bCs/>
          <w:color w:val="000000"/>
          <w:sz w:val="26"/>
          <w:szCs w:val="26"/>
        </w:rPr>
        <w:t>Ato de Criação:</w:t>
      </w:r>
      <w:r>
        <w:rPr>
          <w:rFonts w:eastAsia="Times New Roman" w:cstheme="minorHAnsi"/>
          <w:b/>
          <w:bCs/>
          <w:color w:val="000000"/>
          <w:sz w:val="26"/>
          <w:szCs w:val="26"/>
        </w:rPr>
        <w:t xml:space="preserve"> </w:t>
      </w:r>
      <w:r>
        <w:rPr>
          <w:rFonts w:asciiTheme="minorHAnsi" w:eastAsia="Times New Roman" w:hAnsiTheme="minorHAnsi" w:cstheme="minorHAnsi"/>
          <w:color w:val="000000"/>
          <w:sz w:val="26"/>
          <w:szCs w:val="26"/>
        </w:rPr>
        <w:t xml:space="preserve">Decreto 39.793, de 5 de </w:t>
      </w:r>
      <w:proofErr w:type="gramStart"/>
      <w:r>
        <w:rPr>
          <w:rFonts w:asciiTheme="minorHAnsi" w:eastAsia="Times New Roman" w:hAnsiTheme="minorHAnsi" w:cstheme="minorHAnsi"/>
          <w:color w:val="000000"/>
          <w:sz w:val="26"/>
          <w:szCs w:val="26"/>
        </w:rPr>
        <w:t>Agosto</w:t>
      </w:r>
      <w:proofErr w:type="gramEnd"/>
      <w:r>
        <w:rPr>
          <w:rFonts w:asciiTheme="minorHAnsi" w:eastAsia="Times New Roman" w:hAnsiTheme="minorHAnsi" w:cstheme="minorHAnsi"/>
          <w:color w:val="000000"/>
          <w:sz w:val="26"/>
          <w:szCs w:val="26"/>
        </w:rPr>
        <w:t xml:space="preserve"> de 1998 (criação); Lei 23.774, de 6 de janeiro de 2021 (alteração/ampliação).</w:t>
      </w:r>
    </w:p>
    <w:p w14:paraId="669F761E" w14:textId="77777777" w:rsidR="00C20C06" w:rsidRDefault="006D74F8">
      <w:pPr>
        <w:spacing w:after="0" w:line="240" w:lineRule="auto"/>
        <w:ind w:right="120"/>
        <w:jc w:val="both"/>
        <w:rPr>
          <w:rFonts w:eastAsia="Times New Roman" w:cstheme="minorHAnsi"/>
          <w:color w:val="000000"/>
          <w:sz w:val="26"/>
          <w:szCs w:val="26"/>
          <w:lang w:eastAsia="pt-BR"/>
        </w:rPr>
      </w:pPr>
      <w:r>
        <w:rPr>
          <w:rFonts w:eastAsia="Times New Roman" w:cstheme="minorHAnsi"/>
          <w:b/>
          <w:bCs/>
          <w:color w:val="000000"/>
          <w:sz w:val="26"/>
          <w:szCs w:val="26"/>
          <w:lang w:eastAsia="pt-BR"/>
        </w:rPr>
        <w:t xml:space="preserve">Endereço Sede da UC/Escritório: </w:t>
      </w:r>
      <w:r>
        <w:rPr>
          <w:rFonts w:eastAsia="Times New Roman" w:cstheme="minorHAnsi"/>
          <w:color w:val="000000"/>
          <w:sz w:val="26"/>
          <w:szCs w:val="26"/>
          <w:lang w:eastAsia="pt-BR"/>
        </w:rPr>
        <w:t xml:space="preserve">Rua Teixeira Leal, nº315. CEP: 37.440-000. </w:t>
      </w:r>
      <w:r>
        <w:rPr>
          <w:rFonts w:eastAsia="Times New Roman" w:cstheme="minorHAnsi"/>
          <w:bCs/>
          <w:color w:val="000000"/>
          <w:sz w:val="26"/>
          <w:szCs w:val="26"/>
          <w:lang w:eastAsia="pt-BR"/>
        </w:rPr>
        <w:t>Caxambu</w:t>
      </w:r>
    </w:p>
    <w:p w14:paraId="0E833A56" w14:textId="77777777" w:rsidR="00C20C06" w:rsidRDefault="006D74F8">
      <w:pPr>
        <w:spacing w:after="0" w:line="240" w:lineRule="auto"/>
        <w:ind w:right="120"/>
        <w:jc w:val="both"/>
        <w:rPr>
          <w:rFonts w:eastAsia="Times New Roman" w:cstheme="minorHAnsi"/>
          <w:color w:val="000000"/>
          <w:sz w:val="26"/>
          <w:szCs w:val="26"/>
          <w:lang w:eastAsia="pt-BR"/>
        </w:rPr>
      </w:pPr>
      <w:r>
        <w:rPr>
          <w:rFonts w:eastAsia="Times New Roman" w:cstheme="minorHAnsi"/>
          <w:b/>
          <w:bCs/>
          <w:color w:val="000000"/>
          <w:sz w:val="26"/>
          <w:szCs w:val="26"/>
          <w:lang w:eastAsia="pt-BR"/>
        </w:rPr>
        <w:t xml:space="preserve">Gerente: </w:t>
      </w:r>
      <w:r>
        <w:rPr>
          <w:rFonts w:eastAsia="Times New Roman" w:cstheme="minorHAnsi"/>
          <w:color w:val="000000"/>
          <w:sz w:val="26"/>
          <w:szCs w:val="26"/>
          <w:lang w:eastAsia="pt-BR"/>
        </w:rPr>
        <w:t>Lorena Soares Cardoso Brito</w:t>
      </w:r>
    </w:p>
    <w:p w14:paraId="5B61BC1F" w14:textId="77777777" w:rsidR="00C20C06" w:rsidRDefault="00C20C06">
      <w:pPr>
        <w:spacing w:after="0" w:line="240" w:lineRule="auto"/>
        <w:ind w:right="120"/>
        <w:jc w:val="both"/>
        <w:rPr>
          <w:rFonts w:eastAsia="Times New Roman" w:cstheme="minorHAnsi"/>
          <w:color w:val="000000"/>
          <w:sz w:val="26"/>
          <w:szCs w:val="26"/>
          <w:highlight w:val="yellow"/>
          <w:lang w:eastAsia="pt-BR"/>
        </w:rPr>
      </w:pPr>
    </w:p>
    <w:p w14:paraId="4F7AEB05" w14:textId="77777777" w:rsidR="00C20C06" w:rsidRDefault="006D74F8">
      <w:pPr>
        <w:spacing w:after="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Identificação das áreas (propriedades) destinadas à regularização fundiária:</w:t>
      </w:r>
    </w:p>
    <w:p w14:paraId="3996FF06" w14:textId="77777777" w:rsidR="00C20C06" w:rsidRDefault="00C20C06">
      <w:pPr>
        <w:spacing w:after="0" w:line="240" w:lineRule="auto"/>
        <w:ind w:right="120"/>
        <w:jc w:val="both"/>
        <w:rPr>
          <w:rFonts w:eastAsia="Times New Roman" w:cstheme="minorHAnsi"/>
          <w:color w:val="000000"/>
          <w:sz w:val="26"/>
          <w:szCs w:val="26"/>
          <w:lang w:eastAsia="pt-BR"/>
        </w:rPr>
      </w:pPr>
    </w:p>
    <w:p w14:paraId="70C26BB5" w14:textId="77777777" w:rsidR="00C20C06" w:rsidRDefault="006D74F8">
      <w:pPr>
        <w:spacing w:after="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Propriedade para a área 1:</w:t>
      </w:r>
    </w:p>
    <w:p w14:paraId="6DAAF97C" w14:textId="77777777" w:rsidR="00C20C06" w:rsidRDefault="006D74F8">
      <w:pPr>
        <w:spacing w:after="0" w:line="240" w:lineRule="auto"/>
        <w:ind w:right="120"/>
        <w:jc w:val="both"/>
        <w:rPr>
          <w:rFonts w:eastAsia="Times New Roman" w:cstheme="minorHAnsi"/>
          <w:color w:val="000000"/>
          <w:sz w:val="26"/>
          <w:szCs w:val="26"/>
          <w:lang w:eastAsia="pt-BR"/>
        </w:rPr>
      </w:pPr>
      <w:r>
        <w:rPr>
          <w:rFonts w:eastAsia="Times New Roman" w:cstheme="minorHAnsi"/>
          <w:b/>
          <w:bCs/>
          <w:color w:val="000000"/>
          <w:sz w:val="26"/>
          <w:szCs w:val="26"/>
          <w:lang w:eastAsia="pt-BR"/>
        </w:rPr>
        <w:t xml:space="preserve">Nome da Propriedade: </w:t>
      </w:r>
      <w:proofErr w:type="spellStart"/>
      <w:r>
        <w:rPr>
          <w:rFonts w:eastAsia="Times New Roman" w:cstheme="minorHAnsi"/>
          <w:color w:val="000000"/>
          <w:sz w:val="26"/>
          <w:szCs w:val="26"/>
        </w:rPr>
        <w:t>Manguara</w:t>
      </w:r>
      <w:proofErr w:type="spellEnd"/>
    </w:p>
    <w:p w14:paraId="5331F844" w14:textId="77777777" w:rsidR="00C20C06" w:rsidRDefault="006D74F8">
      <w:pPr>
        <w:spacing w:after="0" w:line="240" w:lineRule="auto"/>
        <w:ind w:right="120"/>
        <w:jc w:val="both"/>
        <w:rPr>
          <w:rFonts w:eastAsia="Times New Roman" w:cstheme="minorHAnsi"/>
          <w:color w:val="000000"/>
          <w:sz w:val="26"/>
          <w:szCs w:val="26"/>
          <w:lang w:eastAsia="pt-BR"/>
        </w:rPr>
      </w:pPr>
      <w:r>
        <w:rPr>
          <w:rFonts w:eastAsia="Times New Roman" w:cstheme="minorHAnsi"/>
          <w:b/>
          <w:bCs/>
          <w:color w:val="000000"/>
          <w:sz w:val="26"/>
          <w:szCs w:val="26"/>
          <w:lang w:eastAsia="pt-BR"/>
        </w:rPr>
        <w:t xml:space="preserve">Nome do Proprietário: </w:t>
      </w:r>
      <w:r>
        <w:rPr>
          <w:rFonts w:eastAsia="Times New Roman" w:cstheme="minorHAnsi"/>
          <w:bCs/>
          <w:color w:val="000000"/>
          <w:sz w:val="26"/>
          <w:szCs w:val="26"/>
          <w:lang w:eastAsia="pt-BR"/>
        </w:rPr>
        <w:t>Mosaico de São Tomé Ltda ME e Olímpio Ferreira de Andrade e Cia Ltda</w:t>
      </w:r>
    </w:p>
    <w:p w14:paraId="3F0E2A09" w14:textId="77777777" w:rsidR="00C20C06" w:rsidRDefault="006D74F8">
      <w:pPr>
        <w:spacing w:after="0" w:line="240" w:lineRule="auto"/>
        <w:ind w:right="120"/>
        <w:jc w:val="both"/>
        <w:rPr>
          <w:rFonts w:eastAsia="Times New Roman" w:cstheme="minorHAnsi"/>
          <w:b/>
          <w:bCs/>
          <w:color w:val="000000"/>
          <w:sz w:val="26"/>
          <w:szCs w:val="26"/>
          <w:lang w:eastAsia="pt-BR"/>
        </w:rPr>
      </w:pPr>
      <w:r>
        <w:rPr>
          <w:rFonts w:eastAsia="Times New Roman" w:cstheme="minorHAnsi"/>
          <w:b/>
          <w:bCs/>
          <w:color w:val="000000"/>
          <w:sz w:val="26"/>
          <w:szCs w:val="26"/>
          <w:lang w:eastAsia="pt-BR"/>
        </w:rPr>
        <w:t xml:space="preserve">Área Total: </w:t>
      </w:r>
      <w:r>
        <w:rPr>
          <w:rFonts w:eastAsia="Times New Roman" w:cstheme="minorHAnsi"/>
          <w:color w:val="000000"/>
          <w:sz w:val="26"/>
          <w:szCs w:val="26"/>
          <w:lang w:eastAsia="pt-BR"/>
        </w:rPr>
        <w:t>11,5694ha</w:t>
      </w:r>
    </w:p>
    <w:p w14:paraId="1D6F733D" w14:textId="77777777" w:rsidR="00C20C06" w:rsidRDefault="006D74F8">
      <w:pPr>
        <w:spacing w:after="0" w:line="240" w:lineRule="auto"/>
        <w:ind w:right="120"/>
        <w:jc w:val="both"/>
        <w:rPr>
          <w:rFonts w:eastAsia="Times New Roman" w:cstheme="minorHAnsi"/>
          <w:color w:val="000000"/>
          <w:sz w:val="26"/>
          <w:szCs w:val="26"/>
          <w:lang w:eastAsia="pt-BR"/>
        </w:rPr>
      </w:pPr>
      <w:r>
        <w:rPr>
          <w:rFonts w:eastAsia="Times New Roman" w:cstheme="minorHAnsi"/>
          <w:b/>
          <w:bCs/>
          <w:color w:val="000000"/>
          <w:sz w:val="26"/>
          <w:szCs w:val="26"/>
          <w:lang w:eastAsia="pt-BR"/>
        </w:rPr>
        <w:t xml:space="preserve">Município: </w:t>
      </w:r>
      <w:proofErr w:type="spellStart"/>
      <w:r>
        <w:rPr>
          <w:rFonts w:eastAsia="Times New Roman" w:cstheme="minorHAnsi"/>
          <w:color w:val="000000"/>
          <w:sz w:val="26"/>
          <w:szCs w:val="26"/>
        </w:rPr>
        <w:t>Itamonte</w:t>
      </w:r>
      <w:proofErr w:type="spellEnd"/>
    </w:p>
    <w:p w14:paraId="57A4A813" w14:textId="77777777" w:rsidR="00C20C06" w:rsidRDefault="006D74F8">
      <w:pPr>
        <w:spacing w:after="0" w:line="240" w:lineRule="auto"/>
        <w:ind w:right="120"/>
        <w:jc w:val="both"/>
        <w:rPr>
          <w:rFonts w:eastAsia="Times New Roman" w:cstheme="minorHAnsi"/>
          <w:color w:val="000000"/>
          <w:sz w:val="26"/>
          <w:szCs w:val="26"/>
          <w:lang w:eastAsia="pt-BR"/>
        </w:rPr>
      </w:pPr>
      <w:r>
        <w:rPr>
          <w:rFonts w:eastAsia="Times New Roman" w:cstheme="minorHAnsi"/>
          <w:b/>
          <w:bCs/>
          <w:color w:val="000000"/>
          <w:sz w:val="26"/>
          <w:szCs w:val="26"/>
          <w:lang w:eastAsia="pt-BR"/>
        </w:rPr>
        <w:t xml:space="preserve">Nº Matrícula: </w:t>
      </w:r>
      <w:r>
        <w:rPr>
          <w:rFonts w:eastAsia="Times New Roman" w:cstheme="minorHAnsi"/>
          <w:color w:val="000000"/>
          <w:sz w:val="26"/>
          <w:szCs w:val="26"/>
        </w:rPr>
        <w:t>9.193</w:t>
      </w:r>
    </w:p>
    <w:p w14:paraId="62D0D497" w14:textId="77777777" w:rsidR="00C20C06" w:rsidRDefault="00C20C06">
      <w:pPr>
        <w:spacing w:after="0" w:line="240" w:lineRule="auto"/>
        <w:ind w:right="120"/>
        <w:jc w:val="both"/>
        <w:rPr>
          <w:rFonts w:eastAsia="Times New Roman" w:cstheme="minorHAnsi"/>
          <w:color w:val="000000"/>
          <w:sz w:val="26"/>
          <w:szCs w:val="26"/>
          <w:lang w:eastAsia="pt-BR"/>
        </w:rPr>
      </w:pPr>
    </w:p>
    <w:p w14:paraId="00789015" w14:textId="77777777" w:rsidR="00C20C06" w:rsidRDefault="006D74F8">
      <w:pPr>
        <w:spacing w:after="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Propriedade para a área 2:</w:t>
      </w:r>
    </w:p>
    <w:p w14:paraId="2C3C2655" w14:textId="77777777" w:rsidR="00C20C06" w:rsidRDefault="006D74F8">
      <w:pPr>
        <w:spacing w:after="0" w:line="240" w:lineRule="auto"/>
        <w:ind w:right="120"/>
        <w:jc w:val="both"/>
        <w:rPr>
          <w:rFonts w:eastAsia="Times New Roman" w:cstheme="minorHAnsi"/>
          <w:color w:val="000000"/>
          <w:sz w:val="26"/>
          <w:szCs w:val="26"/>
          <w:lang w:eastAsia="pt-BR"/>
        </w:rPr>
      </w:pPr>
      <w:r>
        <w:rPr>
          <w:rFonts w:eastAsia="Times New Roman" w:cstheme="minorHAnsi"/>
          <w:b/>
          <w:bCs/>
          <w:color w:val="000000"/>
          <w:sz w:val="26"/>
          <w:szCs w:val="26"/>
          <w:lang w:eastAsia="pt-BR"/>
        </w:rPr>
        <w:t xml:space="preserve">Nome da Propriedade: </w:t>
      </w:r>
      <w:r>
        <w:rPr>
          <w:rFonts w:eastAsia="Times New Roman" w:cstheme="minorHAnsi"/>
          <w:color w:val="000000"/>
          <w:sz w:val="26"/>
          <w:szCs w:val="26"/>
          <w:lang w:eastAsia="pt-BR"/>
        </w:rPr>
        <w:t>Campo Santo Antônio</w:t>
      </w:r>
    </w:p>
    <w:p w14:paraId="1A976745" w14:textId="77777777" w:rsidR="00C20C06" w:rsidRDefault="006D74F8">
      <w:pPr>
        <w:spacing w:after="0" w:line="240" w:lineRule="auto"/>
        <w:ind w:right="120"/>
        <w:jc w:val="both"/>
        <w:rPr>
          <w:rFonts w:eastAsia="Times New Roman" w:cstheme="minorHAnsi"/>
          <w:color w:val="000000"/>
          <w:sz w:val="26"/>
          <w:szCs w:val="26"/>
          <w:lang w:eastAsia="pt-BR"/>
        </w:rPr>
      </w:pPr>
      <w:r>
        <w:rPr>
          <w:rFonts w:eastAsia="Times New Roman" w:cstheme="minorHAnsi"/>
          <w:b/>
          <w:bCs/>
          <w:color w:val="000000"/>
          <w:sz w:val="26"/>
          <w:szCs w:val="26"/>
          <w:lang w:eastAsia="pt-BR"/>
        </w:rPr>
        <w:t xml:space="preserve">Nome do Proprietário: </w:t>
      </w:r>
      <w:r>
        <w:rPr>
          <w:rFonts w:eastAsia="Times New Roman" w:cstheme="minorHAnsi"/>
          <w:bCs/>
          <w:color w:val="000000"/>
          <w:sz w:val="26"/>
          <w:szCs w:val="26"/>
          <w:lang w:eastAsia="pt-BR"/>
        </w:rPr>
        <w:t>Adilson José dos Santos Carvalhal e outros</w:t>
      </w:r>
    </w:p>
    <w:p w14:paraId="3D617F9F" w14:textId="77777777" w:rsidR="00C20C06" w:rsidRDefault="006D74F8">
      <w:pPr>
        <w:spacing w:after="0" w:line="240" w:lineRule="auto"/>
        <w:ind w:right="120"/>
        <w:jc w:val="both"/>
        <w:rPr>
          <w:rFonts w:eastAsia="Times New Roman" w:cstheme="minorHAnsi"/>
          <w:b/>
          <w:bCs/>
          <w:color w:val="000000"/>
          <w:sz w:val="26"/>
          <w:szCs w:val="26"/>
          <w:lang w:eastAsia="pt-BR"/>
        </w:rPr>
      </w:pPr>
      <w:r>
        <w:rPr>
          <w:rFonts w:eastAsia="Times New Roman" w:cstheme="minorHAnsi"/>
          <w:b/>
          <w:bCs/>
          <w:color w:val="000000"/>
          <w:sz w:val="26"/>
          <w:szCs w:val="26"/>
          <w:lang w:eastAsia="pt-BR"/>
        </w:rPr>
        <w:t xml:space="preserve">Área Total: </w:t>
      </w:r>
      <w:r>
        <w:rPr>
          <w:rFonts w:eastAsia="Times New Roman" w:cstheme="minorHAnsi"/>
          <w:bCs/>
          <w:color w:val="000000"/>
          <w:sz w:val="26"/>
          <w:szCs w:val="26"/>
          <w:lang w:eastAsia="pt-BR"/>
        </w:rPr>
        <w:t>19,21</w:t>
      </w:r>
      <w:r>
        <w:rPr>
          <w:rFonts w:eastAsia="Times New Roman" w:cstheme="minorHAnsi"/>
          <w:color w:val="000000"/>
          <w:sz w:val="26"/>
          <w:szCs w:val="26"/>
          <w:lang w:eastAsia="pt-BR"/>
        </w:rPr>
        <w:t>ha</w:t>
      </w:r>
    </w:p>
    <w:p w14:paraId="6069C5C6" w14:textId="77777777" w:rsidR="00C20C06" w:rsidRDefault="006D74F8">
      <w:pPr>
        <w:spacing w:after="0" w:line="240" w:lineRule="auto"/>
        <w:ind w:right="120"/>
        <w:jc w:val="both"/>
        <w:rPr>
          <w:rFonts w:eastAsia="Times New Roman" w:cstheme="minorHAnsi"/>
          <w:color w:val="000000"/>
          <w:sz w:val="26"/>
          <w:szCs w:val="26"/>
          <w:lang w:eastAsia="pt-BR"/>
        </w:rPr>
      </w:pPr>
      <w:r>
        <w:rPr>
          <w:rFonts w:eastAsia="Times New Roman" w:cstheme="minorHAnsi"/>
          <w:b/>
          <w:bCs/>
          <w:color w:val="000000"/>
          <w:sz w:val="26"/>
          <w:szCs w:val="26"/>
          <w:lang w:eastAsia="pt-BR"/>
        </w:rPr>
        <w:t xml:space="preserve">Município: </w:t>
      </w:r>
      <w:r>
        <w:rPr>
          <w:rFonts w:eastAsia="Times New Roman" w:cstheme="minorHAnsi"/>
          <w:color w:val="000000"/>
          <w:sz w:val="26"/>
          <w:szCs w:val="26"/>
        </w:rPr>
        <w:t>Baependi</w:t>
      </w:r>
    </w:p>
    <w:p w14:paraId="54D51857" w14:textId="77777777" w:rsidR="00C20C06" w:rsidRDefault="006D74F8">
      <w:pPr>
        <w:spacing w:after="0" w:line="240" w:lineRule="auto"/>
        <w:ind w:right="120"/>
        <w:jc w:val="both"/>
        <w:rPr>
          <w:rFonts w:eastAsia="Times New Roman" w:cstheme="minorHAnsi"/>
          <w:color w:val="000000"/>
          <w:sz w:val="26"/>
          <w:szCs w:val="26"/>
          <w:lang w:eastAsia="pt-BR"/>
        </w:rPr>
      </w:pPr>
      <w:r>
        <w:rPr>
          <w:rFonts w:eastAsia="Times New Roman" w:cstheme="minorHAnsi"/>
          <w:b/>
          <w:bCs/>
          <w:color w:val="000000"/>
          <w:sz w:val="26"/>
          <w:szCs w:val="26"/>
          <w:lang w:eastAsia="pt-BR"/>
        </w:rPr>
        <w:t xml:space="preserve">Nº Matrícula: </w:t>
      </w:r>
      <w:r>
        <w:rPr>
          <w:rFonts w:eastAsia="Times New Roman" w:cstheme="minorHAnsi"/>
          <w:color w:val="000000"/>
          <w:sz w:val="26"/>
          <w:szCs w:val="26"/>
        </w:rPr>
        <w:t>21.734</w:t>
      </w:r>
    </w:p>
    <w:p w14:paraId="0E13B287" w14:textId="77777777" w:rsidR="00C20C06" w:rsidRDefault="00C20C06">
      <w:pPr>
        <w:spacing w:after="0" w:line="240" w:lineRule="auto"/>
        <w:ind w:right="120"/>
        <w:jc w:val="both"/>
        <w:rPr>
          <w:rFonts w:eastAsia="Times New Roman" w:cstheme="minorHAnsi"/>
          <w:color w:val="000000"/>
          <w:sz w:val="26"/>
          <w:szCs w:val="26"/>
          <w:highlight w:val="yellow"/>
          <w:lang w:eastAsia="pt-BR"/>
        </w:rPr>
      </w:pPr>
    </w:p>
    <w:p w14:paraId="24B48E41"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Todos os documentos em digital como plantas planimétricas memoriais descritivos das áreas propostas para a compensação minerária constam do referido processo SEI. </w:t>
      </w:r>
    </w:p>
    <w:p w14:paraId="3DC229B5"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O responsável técnico pela elaboração desses documentos é o Engenheiro Civil e Ambiental – Ricardo Barros Pereira, CREA-MG 06.0.5061922446 – A.R.T. nº 14202000000006133144. </w:t>
      </w:r>
    </w:p>
    <w:p w14:paraId="5CC6D347"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Com relação à forma de compensação, a proposta apresentada compreende a doação de uma área no interior de Unidade de Conservação de Proteção Integral, pendente de regularização fundiária, atendendo o Art. 75 da Lei Estadual 20.922/13, em seu §1 até a presente data, e em seu 2º para a área do empreendimento, DNPM número 831.924/1989.</w:t>
      </w:r>
    </w:p>
    <w:p w14:paraId="52A4326B"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Assim, com base nos aspectos observados conclui-se que a proposta apresentada no Projeto Executivo de Compensação Minerária atende à legislação ambiental vigente.</w:t>
      </w:r>
    </w:p>
    <w:p w14:paraId="002F14BB" w14:textId="77777777" w:rsidR="00C20C06" w:rsidRDefault="006D74F8">
      <w:pPr>
        <w:spacing w:after="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O empreendimento </w:t>
      </w:r>
      <w:r>
        <w:rPr>
          <w:rFonts w:eastAsia="Times New Roman" w:cstheme="minorHAnsi"/>
          <w:bCs/>
          <w:color w:val="000000"/>
          <w:sz w:val="26"/>
          <w:szCs w:val="26"/>
          <w:lang w:eastAsia="pt-BR"/>
        </w:rPr>
        <w:t>Olímpio Ferreira de Andrade e Cia Ltda</w:t>
      </w:r>
      <w:r>
        <w:rPr>
          <w:rFonts w:eastAsia="Times New Roman" w:cstheme="minorHAnsi"/>
          <w:color w:val="000000"/>
          <w:sz w:val="26"/>
          <w:szCs w:val="26"/>
          <w:lang w:eastAsia="pt-BR"/>
        </w:rPr>
        <w:t>, localizado no DNPM número 831.924/1989, apresentou escritura pública para a área 1 em nome do próprio de Olímpio Ferreira de Andrade e Cia Ltda e Mosaico São Tomé Ltda Me, e para a área 2 apresentou cópia de um Contrato de Promessa de Compra e Venda com o proprietário do imóvel, ambas áreas para serem destinadas como doação, localizadas na Unidade de Conservação de Proteção Integral Parque Estadual Serra do Papagaio – PESP.</w:t>
      </w:r>
    </w:p>
    <w:p w14:paraId="293B05F4"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Foi apresentado cronograma para cumprimento da etapa para a regularização fundiária de área proposta, entretanto foi necessário adequações, uma vez que o que foi apresentado só contemplava o contrato de doação, então para ficar conforme os procedimentos adotados pelo IEF, é exposto a seguir, as etapas necessárias.</w:t>
      </w:r>
    </w:p>
    <w:p w14:paraId="58602813" w14:textId="77777777" w:rsidR="00C20C06" w:rsidRDefault="00C20C06">
      <w:pPr>
        <w:spacing w:before="120" w:after="120" w:line="288" w:lineRule="auto"/>
        <w:ind w:right="-426"/>
        <w:jc w:val="both"/>
        <w:rPr>
          <w:rFonts w:ascii="Arial" w:hAnsi="Arial" w:cs="Arial"/>
          <w:highlight w:val="yellow"/>
          <w:lang w:eastAsia="pt-BR"/>
        </w:rPr>
      </w:pPr>
    </w:p>
    <w:p w14:paraId="7BEE3F3C" w14:textId="77777777" w:rsidR="00C20C06" w:rsidRDefault="006D74F8">
      <w:pPr>
        <w:spacing w:before="120" w:after="120" w:line="288" w:lineRule="auto"/>
        <w:ind w:right="-426"/>
        <w:jc w:val="center"/>
        <w:rPr>
          <w:rFonts w:eastAsia="Times New Roman" w:cstheme="minorHAnsi"/>
          <w:color w:val="000000"/>
          <w:sz w:val="26"/>
          <w:szCs w:val="26"/>
          <w:lang w:eastAsia="pt-BR"/>
        </w:rPr>
      </w:pPr>
      <w:r>
        <w:rPr>
          <w:rFonts w:eastAsia="Times New Roman" w:cstheme="minorHAnsi"/>
          <w:color w:val="000000"/>
          <w:sz w:val="26"/>
          <w:szCs w:val="26"/>
          <w:lang w:eastAsia="pt-BR"/>
        </w:rPr>
        <w:t>CRONOGRAMA DE EXECUÇÃO DAS AÇÕES</w:t>
      </w:r>
    </w:p>
    <w:tbl>
      <w:tblPr>
        <w:tblStyle w:val="Tabelacomgrade"/>
        <w:tblW w:w="9228" w:type="dxa"/>
        <w:tblLayout w:type="fixed"/>
        <w:tblLook w:val="04A0" w:firstRow="1" w:lastRow="0" w:firstColumn="1" w:lastColumn="0" w:noHBand="0" w:noVBand="1"/>
      </w:tblPr>
      <w:tblGrid>
        <w:gridCol w:w="2802"/>
        <w:gridCol w:w="3812"/>
        <w:gridCol w:w="2614"/>
      </w:tblGrid>
      <w:tr w:rsidR="00C20C06" w14:paraId="1876E39C" w14:textId="77777777">
        <w:trPr>
          <w:trHeight w:val="386"/>
        </w:trPr>
        <w:tc>
          <w:tcPr>
            <w:tcW w:w="2802" w:type="dxa"/>
            <w:shd w:val="clear" w:color="auto" w:fill="D9D9D9" w:themeFill="background1" w:themeFillShade="D9"/>
            <w:vAlign w:val="center"/>
          </w:tcPr>
          <w:p w14:paraId="7DFCD4EF" w14:textId="77777777" w:rsidR="00C20C06" w:rsidRDefault="006D74F8">
            <w:pPr>
              <w:autoSpaceDE w:val="0"/>
              <w:autoSpaceDN w:val="0"/>
              <w:adjustRightInd w:val="0"/>
              <w:spacing w:after="0" w:line="240" w:lineRule="auto"/>
              <w:ind w:right="-426"/>
              <w:jc w:val="center"/>
              <w:rPr>
                <w:rFonts w:ascii="Arial" w:hAnsi="Arial" w:cs="Arial"/>
                <w:b/>
                <w:bCs/>
                <w:sz w:val="20"/>
                <w:szCs w:val="20"/>
              </w:rPr>
            </w:pPr>
            <w:r>
              <w:rPr>
                <w:rFonts w:ascii="Arial" w:hAnsi="Arial" w:cs="Arial"/>
                <w:b/>
                <w:bCs/>
                <w:sz w:val="20"/>
                <w:szCs w:val="20"/>
              </w:rPr>
              <w:t>Etapa/Ação</w:t>
            </w:r>
          </w:p>
        </w:tc>
        <w:tc>
          <w:tcPr>
            <w:tcW w:w="3812" w:type="dxa"/>
            <w:shd w:val="clear" w:color="auto" w:fill="D9D9D9" w:themeFill="background1" w:themeFillShade="D9"/>
            <w:vAlign w:val="center"/>
          </w:tcPr>
          <w:p w14:paraId="6781C3A4" w14:textId="77777777" w:rsidR="00C20C06" w:rsidRDefault="006D74F8">
            <w:pPr>
              <w:autoSpaceDE w:val="0"/>
              <w:autoSpaceDN w:val="0"/>
              <w:adjustRightInd w:val="0"/>
              <w:spacing w:after="0" w:line="240" w:lineRule="auto"/>
              <w:ind w:right="-426"/>
              <w:jc w:val="center"/>
              <w:rPr>
                <w:rFonts w:ascii="Arial" w:hAnsi="Arial" w:cs="Arial"/>
                <w:b/>
                <w:bCs/>
                <w:sz w:val="20"/>
                <w:szCs w:val="20"/>
              </w:rPr>
            </w:pPr>
            <w:r>
              <w:rPr>
                <w:rFonts w:ascii="Arial" w:hAnsi="Arial" w:cs="Arial"/>
                <w:b/>
                <w:bCs/>
                <w:sz w:val="20"/>
                <w:szCs w:val="20"/>
              </w:rPr>
              <w:t>Detalhamento da Ação</w:t>
            </w:r>
          </w:p>
        </w:tc>
        <w:tc>
          <w:tcPr>
            <w:tcW w:w="2614" w:type="dxa"/>
            <w:shd w:val="clear" w:color="auto" w:fill="D9D9D9" w:themeFill="background1" w:themeFillShade="D9"/>
            <w:vAlign w:val="center"/>
          </w:tcPr>
          <w:p w14:paraId="783B5D4A" w14:textId="77777777" w:rsidR="00C20C06" w:rsidRDefault="006D74F8">
            <w:pPr>
              <w:autoSpaceDE w:val="0"/>
              <w:autoSpaceDN w:val="0"/>
              <w:adjustRightInd w:val="0"/>
              <w:spacing w:after="0" w:line="240" w:lineRule="auto"/>
              <w:ind w:right="-426"/>
              <w:jc w:val="center"/>
              <w:rPr>
                <w:rFonts w:ascii="Arial" w:hAnsi="Arial" w:cs="Arial"/>
                <w:b/>
                <w:bCs/>
                <w:sz w:val="20"/>
                <w:szCs w:val="20"/>
              </w:rPr>
            </w:pPr>
            <w:r>
              <w:rPr>
                <w:rFonts w:ascii="Arial" w:hAnsi="Arial" w:cs="Arial"/>
                <w:b/>
                <w:bCs/>
                <w:sz w:val="20"/>
                <w:szCs w:val="20"/>
              </w:rPr>
              <w:t>Prazo</w:t>
            </w:r>
          </w:p>
        </w:tc>
      </w:tr>
      <w:tr w:rsidR="00C20C06" w14:paraId="496A4568" w14:textId="77777777">
        <w:tc>
          <w:tcPr>
            <w:tcW w:w="2802" w:type="dxa"/>
            <w:shd w:val="clear" w:color="auto" w:fill="F2F2F2" w:themeFill="background1" w:themeFillShade="F2"/>
            <w:vAlign w:val="center"/>
          </w:tcPr>
          <w:p w14:paraId="240697BD" w14:textId="77777777" w:rsidR="00C20C06" w:rsidRDefault="006D74F8">
            <w:pPr>
              <w:pStyle w:val="Default"/>
              <w:rPr>
                <w:sz w:val="22"/>
                <w:szCs w:val="22"/>
              </w:rPr>
            </w:pPr>
            <w:r>
              <w:rPr>
                <w:sz w:val="22"/>
                <w:szCs w:val="22"/>
              </w:rPr>
              <w:t>Termo de Compromisso de Compensação Florestal Minerária - TCCFM</w:t>
            </w:r>
          </w:p>
        </w:tc>
        <w:tc>
          <w:tcPr>
            <w:tcW w:w="3812" w:type="dxa"/>
            <w:shd w:val="clear" w:color="auto" w:fill="F2F2F2" w:themeFill="background1" w:themeFillShade="F2"/>
            <w:vAlign w:val="center"/>
          </w:tcPr>
          <w:p w14:paraId="2BF7ECC0" w14:textId="77777777" w:rsidR="00C20C06" w:rsidRDefault="006D74F8">
            <w:pPr>
              <w:pStyle w:val="Default"/>
              <w:rPr>
                <w:sz w:val="22"/>
                <w:szCs w:val="22"/>
              </w:rPr>
            </w:pPr>
            <w:r>
              <w:rPr>
                <w:sz w:val="22"/>
                <w:szCs w:val="22"/>
              </w:rPr>
              <w:t>Assinatura do TCCFM</w:t>
            </w:r>
          </w:p>
        </w:tc>
        <w:tc>
          <w:tcPr>
            <w:tcW w:w="2614" w:type="dxa"/>
            <w:shd w:val="clear" w:color="auto" w:fill="F2F2F2" w:themeFill="background1" w:themeFillShade="F2"/>
            <w:vAlign w:val="center"/>
          </w:tcPr>
          <w:p w14:paraId="61425957" w14:textId="77777777" w:rsidR="00C20C06" w:rsidRDefault="006D74F8">
            <w:pPr>
              <w:pStyle w:val="Default"/>
              <w:rPr>
                <w:sz w:val="22"/>
                <w:szCs w:val="22"/>
              </w:rPr>
            </w:pPr>
            <w:r>
              <w:rPr>
                <w:sz w:val="22"/>
                <w:szCs w:val="22"/>
              </w:rPr>
              <w:t>Até 7 dias após recebimento</w:t>
            </w:r>
          </w:p>
        </w:tc>
      </w:tr>
      <w:tr w:rsidR="00C20C06" w14:paraId="3EB3CC9B" w14:textId="77777777">
        <w:tc>
          <w:tcPr>
            <w:tcW w:w="2802" w:type="dxa"/>
            <w:shd w:val="clear" w:color="auto" w:fill="F2F2F2" w:themeFill="background1" w:themeFillShade="F2"/>
            <w:vAlign w:val="center"/>
          </w:tcPr>
          <w:p w14:paraId="0CF588B7" w14:textId="77777777" w:rsidR="00C20C06" w:rsidRDefault="006D74F8">
            <w:pPr>
              <w:pStyle w:val="Default"/>
              <w:rPr>
                <w:sz w:val="22"/>
                <w:szCs w:val="22"/>
              </w:rPr>
            </w:pPr>
            <w:r>
              <w:rPr>
                <w:sz w:val="22"/>
                <w:szCs w:val="22"/>
              </w:rPr>
              <w:lastRenderedPageBreak/>
              <w:t>Publicação</w:t>
            </w:r>
          </w:p>
        </w:tc>
        <w:tc>
          <w:tcPr>
            <w:tcW w:w="3812" w:type="dxa"/>
            <w:shd w:val="clear" w:color="auto" w:fill="F2F2F2" w:themeFill="background1" w:themeFillShade="F2"/>
            <w:vAlign w:val="center"/>
          </w:tcPr>
          <w:p w14:paraId="428A9777" w14:textId="77777777" w:rsidR="00C20C06" w:rsidRDefault="006D74F8">
            <w:pPr>
              <w:pStyle w:val="Default"/>
              <w:rPr>
                <w:sz w:val="22"/>
                <w:szCs w:val="22"/>
              </w:rPr>
            </w:pPr>
            <w:r>
              <w:rPr>
                <w:sz w:val="22"/>
                <w:szCs w:val="22"/>
              </w:rPr>
              <w:t>Providenciar publicação do extrato do TCCFM na Imprensa Oficial do Estado de Minas Gerais.</w:t>
            </w:r>
          </w:p>
        </w:tc>
        <w:tc>
          <w:tcPr>
            <w:tcW w:w="2614" w:type="dxa"/>
            <w:shd w:val="clear" w:color="auto" w:fill="F2F2F2" w:themeFill="background1" w:themeFillShade="F2"/>
            <w:vAlign w:val="center"/>
          </w:tcPr>
          <w:p w14:paraId="59E198E7" w14:textId="77777777" w:rsidR="00C20C06" w:rsidRDefault="006D74F8">
            <w:pPr>
              <w:pStyle w:val="Default"/>
              <w:rPr>
                <w:sz w:val="22"/>
                <w:szCs w:val="22"/>
              </w:rPr>
            </w:pPr>
            <w:r>
              <w:rPr>
                <w:sz w:val="22"/>
                <w:szCs w:val="22"/>
              </w:rPr>
              <w:t>Até 7 dias após assinatura do Termo de Compromisso</w:t>
            </w:r>
          </w:p>
        </w:tc>
      </w:tr>
      <w:tr w:rsidR="00C20C06" w14:paraId="1DE1BF39" w14:textId="77777777">
        <w:tc>
          <w:tcPr>
            <w:tcW w:w="2802" w:type="dxa"/>
            <w:shd w:val="clear" w:color="auto" w:fill="F2F2F2" w:themeFill="background1" w:themeFillShade="F2"/>
            <w:vAlign w:val="center"/>
          </w:tcPr>
          <w:p w14:paraId="12BD255C" w14:textId="77777777" w:rsidR="00C20C06" w:rsidRDefault="006D74F8">
            <w:pPr>
              <w:pStyle w:val="Default"/>
              <w:rPr>
                <w:sz w:val="22"/>
                <w:szCs w:val="22"/>
              </w:rPr>
            </w:pPr>
            <w:r>
              <w:rPr>
                <w:sz w:val="22"/>
                <w:szCs w:val="22"/>
              </w:rPr>
              <w:t xml:space="preserve">Encaminhar para a Gerência de Compensação Minerária e Regularização Fundiária </w:t>
            </w:r>
          </w:p>
        </w:tc>
        <w:tc>
          <w:tcPr>
            <w:tcW w:w="3812" w:type="dxa"/>
            <w:shd w:val="clear" w:color="auto" w:fill="F2F2F2" w:themeFill="background1" w:themeFillShade="F2"/>
            <w:vAlign w:val="center"/>
          </w:tcPr>
          <w:p w14:paraId="7D4F0619" w14:textId="77777777" w:rsidR="00C20C06" w:rsidRDefault="006D74F8">
            <w:pPr>
              <w:pStyle w:val="Default"/>
              <w:spacing w:after="0" w:line="240" w:lineRule="auto"/>
              <w:rPr>
                <w:sz w:val="22"/>
                <w:szCs w:val="22"/>
              </w:rPr>
            </w:pPr>
            <w:r>
              <w:rPr>
                <w:sz w:val="22"/>
                <w:szCs w:val="22"/>
              </w:rPr>
              <w:t>Conferência, identificação e transferência dos imóveis contidos na UC cuja categoria determina a posse e domínios públicos para o Poder Público.</w:t>
            </w:r>
          </w:p>
        </w:tc>
        <w:tc>
          <w:tcPr>
            <w:tcW w:w="2614" w:type="dxa"/>
            <w:shd w:val="clear" w:color="auto" w:fill="F2F2F2" w:themeFill="background1" w:themeFillShade="F2"/>
            <w:vAlign w:val="center"/>
          </w:tcPr>
          <w:p w14:paraId="5BA9D874" w14:textId="77777777" w:rsidR="00C20C06" w:rsidRDefault="006D74F8">
            <w:pPr>
              <w:pStyle w:val="Default"/>
              <w:rPr>
                <w:sz w:val="22"/>
                <w:szCs w:val="22"/>
              </w:rPr>
            </w:pPr>
            <w:r>
              <w:rPr>
                <w:sz w:val="22"/>
                <w:szCs w:val="22"/>
              </w:rPr>
              <w:t>40 dias</w:t>
            </w:r>
          </w:p>
        </w:tc>
      </w:tr>
      <w:tr w:rsidR="00C20C06" w14:paraId="3C234CD6" w14:textId="77777777">
        <w:tc>
          <w:tcPr>
            <w:tcW w:w="2802" w:type="dxa"/>
            <w:shd w:val="clear" w:color="auto" w:fill="F2F2F2" w:themeFill="background1" w:themeFillShade="F2"/>
            <w:vAlign w:val="center"/>
          </w:tcPr>
          <w:p w14:paraId="7871A274" w14:textId="77777777" w:rsidR="00C20C06" w:rsidRDefault="006D74F8">
            <w:pPr>
              <w:pStyle w:val="Default"/>
              <w:rPr>
                <w:sz w:val="22"/>
                <w:szCs w:val="22"/>
              </w:rPr>
            </w:pPr>
            <w:r>
              <w:rPr>
                <w:sz w:val="22"/>
                <w:szCs w:val="22"/>
              </w:rPr>
              <w:t xml:space="preserve">Transferir ao Instituto Estadual de Florestas – IEF o imóvel a ser doado </w:t>
            </w:r>
          </w:p>
        </w:tc>
        <w:tc>
          <w:tcPr>
            <w:tcW w:w="3812" w:type="dxa"/>
            <w:shd w:val="clear" w:color="auto" w:fill="F2F2F2" w:themeFill="background1" w:themeFillShade="F2"/>
            <w:vAlign w:val="center"/>
          </w:tcPr>
          <w:p w14:paraId="3A72378C" w14:textId="77777777" w:rsidR="00C20C06" w:rsidRDefault="006D74F8">
            <w:pPr>
              <w:pStyle w:val="Default"/>
              <w:rPr>
                <w:sz w:val="22"/>
                <w:szCs w:val="22"/>
              </w:rPr>
            </w:pPr>
            <w:r>
              <w:rPr>
                <w:sz w:val="22"/>
                <w:szCs w:val="22"/>
              </w:rPr>
              <w:t xml:space="preserve">Providenciar junto ao cartório de notas a lavratura da escritura pública de doação enviando ao setor responsável pela Regularização Fundiária do IEF </w:t>
            </w:r>
          </w:p>
        </w:tc>
        <w:tc>
          <w:tcPr>
            <w:tcW w:w="2614" w:type="dxa"/>
            <w:shd w:val="clear" w:color="auto" w:fill="F2F2F2" w:themeFill="background1" w:themeFillShade="F2"/>
            <w:vAlign w:val="center"/>
          </w:tcPr>
          <w:p w14:paraId="4AC9D5FE" w14:textId="77777777" w:rsidR="00C20C06" w:rsidRDefault="006D74F8">
            <w:pPr>
              <w:pStyle w:val="Default"/>
              <w:rPr>
                <w:sz w:val="22"/>
                <w:szCs w:val="22"/>
              </w:rPr>
            </w:pPr>
            <w:r>
              <w:rPr>
                <w:sz w:val="22"/>
                <w:szCs w:val="22"/>
              </w:rPr>
              <w:t>60 dias após recebimento da confirmação da gerência.</w:t>
            </w:r>
          </w:p>
        </w:tc>
      </w:tr>
      <w:tr w:rsidR="00C20C06" w14:paraId="2EF0A5DD" w14:textId="77777777">
        <w:tc>
          <w:tcPr>
            <w:tcW w:w="2802" w:type="dxa"/>
            <w:shd w:val="clear" w:color="auto" w:fill="F2F2F2" w:themeFill="background1" w:themeFillShade="F2"/>
            <w:vAlign w:val="center"/>
          </w:tcPr>
          <w:p w14:paraId="3147863C" w14:textId="77777777" w:rsidR="00C20C06" w:rsidRDefault="006D74F8">
            <w:pPr>
              <w:pStyle w:val="Default"/>
              <w:rPr>
                <w:sz w:val="22"/>
                <w:szCs w:val="22"/>
              </w:rPr>
            </w:pPr>
            <w:r>
              <w:rPr>
                <w:sz w:val="22"/>
                <w:szCs w:val="22"/>
              </w:rPr>
              <w:t xml:space="preserve">Publicação do extrato deste Instrumento no Diário Oficial do Estado </w:t>
            </w:r>
          </w:p>
        </w:tc>
        <w:tc>
          <w:tcPr>
            <w:tcW w:w="3812" w:type="dxa"/>
            <w:shd w:val="clear" w:color="auto" w:fill="F2F2F2" w:themeFill="background1" w:themeFillShade="F2"/>
            <w:vAlign w:val="center"/>
          </w:tcPr>
          <w:p w14:paraId="1FF57322" w14:textId="77777777" w:rsidR="00C20C06" w:rsidRDefault="006D74F8">
            <w:pPr>
              <w:pStyle w:val="Default"/>
              <w:rPr>
                <w:sz w:val="22"/>
                <w:szCs w:val="22"/>
              </w:rPr>
            </w:pPr>
            <w:r>
              <w:rPr>
                <w:sz w:val="22"/>
                <w:szCs w:val="22"/>
              </w:rPr>
              <w:t xml:space="preserve">Publicar junto ao Diário Oficial do Estado a doação do imóvel ao IEF. </w:t>
            </w:r>
          </w:p>
        </w:tc>
        <w:tc>
          <w:tcPr>
            <w:tcW w:w="2614" w:type="dxa"/>
            <w:shd w:val="clear" w:color="auto" w:fill="F2F2F2" w:themeFill="background1" w:themeFillShade="F2"/>
            <w:vAlign w:val="center"/>
          </w:tcPr>
          <w:p w14:paraId="264E8FD5" w14:textId="77777777" w:rsidR="00C20C06" w:rsidRDefault="006D74F8">
            <w:pPr>
              <w:pStyle w:val="Default"/>
              <w:rPr>
                <w:sz w:val="22"/>
                <w:szCs w:val="22"/>
              </w:rPr>
            </w:pPr>
            <w:r>
              <w:rPr>
                <w:sz w:val="22"/>
                <w:szCs w:val="22"/>
              </w:rPr>
              <w:t xml:space="preserve">7 dias após assinatura da escritura </w:t>
            </w:r>
          </w:p>
        </w:tc>
      </w:tr>
      <w:tr w:rsidR="00C20C06" w14:paraId="580B1F03" w14:textId="77777777">
        <w:tc>
          <w:tcPr>
            <w:tcW w:w="2802" w:type="dxa"/>
            <w:shd w:val="clear" w:color="auto" w:fill="F2F2F2" w:themeFill="background1" w:themeFillShade="F2"/>
            <w:vAlign w:val="center"/>
          </w:tcPr>
          <w:p w14:paraId="6117CDB3" w14:textId="77777777" w:rsidR="00C20C06" w:rsidRDefault="006D74F8">
            <w:pPr>
              <w:pStyle w:val="Default"/>
              <w:rPr>
                <w:sz w:val="22"/>
                <w:szCs w:val="22"/>
              </w:rPr>
            </w:pPr>
            <w:r>
              <w:rPr>
                <w:sz w:val="22"/>
                <w:szCs w:val="22"/>
              </w:rPr>
              <w:t xml:space="preserve">Escritura de doação </w:t>
            </w:r>
          </w:p>
        </w:tc>
        <w:tc>
          <w:tcPr>
            <w:tcW w:w="3812" w:type="dxa"/>
            <w:shd w:val="clear" w:color="auto" w:fill="F2F2F2" w:themeFill="background1" w:themeFillShade="F2"/>
            <w:vAlign w:val="center"/>
          </w:tcPr>
          <w:p w14:paraId="693B31A1" w14:textId="77777777" w:rsidR="00C20C06" w:rsidRDefault="006D74F8">
            <w:pPr>
              <w:pStyle w:val="Default"/>
              <w:rPr>
                <w:sz w:val="22"/>
                <w:szCs w:val="22"/>
              </w:rPr>
            </w:pPr>
            <w:r>
              <w:rPr>
                <w:sz w:val="22"/>
                <w:szCs w:val="22"/>
              </w:rPr>
              <w:t>Enviar ao IEF, cópia da Escritura Pública de doação da área/imóvel devidamente registrado junto ao cartório competente, bem como do extrato deste instrumento publicado no Diário Oficial do Estado.</w:t>
            </w:r>
          </w:p>
        </w:tc>
        <w:tc>
          <w:tcPr>
            <w:tcW w:w="2614" w:type="dxa"/>
            <w:shd w:val="clear" w:color="auto" w:fill="F2F2F2" w:themeFill="background1" w:themeFillShade="F2"/>
            <w:vAlign w:val="center"/>
          </w:tcPr>
          <w:p w14:paraId="1EEBD305" w14:textId="77777777" w:rsidR="00C20C06" w:rsidRDefault="006D74F8">
            <w:pPr>
              <w:pStyle w:val="Default"/>
              <w:rPr>
                <w:sz w:val="22"/>
                <w:szCs w:val="22"/>
              </w:rPr>
            </w:pPr>
            <w:r>
              <w:rPr>
                <w:sz w:val="22"/>
                <w:szCs w:val="22"/>
              </w:rPr>
              <w:t>Até 7 dias da efetivação do registro junto ao cartório.</w:t>
            </w:r>
          </w:p>
        </w:tc>
      </w:tr>
    </w:tbl>
    <w:p w14:paraId="3DB198C5"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 xml:space="preserve">Acrescenta-se que o cumprimento total da condicionante se dará quando for concluída a doação da área proposta, com o devido registro em nome do IEF. </w:t>
      </w:r>
    </w:p>
    <w:p w14:paraId="613E9FDF" w14:textId="77777777" w:rsidR="00C20C06" w:rsidRDefault="00C20C06">
      <w:pPr>
        <w:spacing w:before="120" w:after="120" w:line="240" w:lineRule="auto"/>
        <w:ind w:right="120"/>
        <w:jc w:val="both"/>
        <w:rPr>
          <w:rFonts w:eastAsia="Times New Roman" w:cstheme="minorHAnsi"/>
          <w:color w:val="000000"/>
          <w:sz w:val="26"/>
          <w:szCs w:val="26"/>
          <w:highlight w:val="yellow"/>
          <w:lang w:eastAsia="pt-BR"/>
        </w:rPr>
      </w:pPr>
    </w:p>
    <w:p w14:paraId="3A8813D7" w14:textId="77777777" w:rsidR="00C20C06" w:rsidRDefault="006D74F8">
      <w:pPr>
        <w:shd w:val="clear" w:color="auto" w:fill="E6E6E6"/>
        <w:spacing w:before="120" w:after="120" w:line="240" w:lineRule="auto"/>
        <w:ind w:left="120" w:right="120"/>
        <w:jc w:val="both"/>
        <w:rPr>
          <w:rFonts w:eastAsia="Times New Roman" w:cstheme="minorHAnsi"/>
          <w:b/>
          <w:bCs/>
          <w:caps/>
          <w:color w:val="000000"/>
          <w:sz w:val="26"/>
          <w:szCs w:val="26"/>
          <w:lang w:eastAsia="pt-BR"/>
        </w:rPr>
      </w:pPr>
      <w:r>
        <w:rPr>
          <w:rFonts w:eastAsia="Times New Roman" w:cstheme="minorHAnsi"/>
          <w:b/>
          <w:bCs/>
          <w:caps/>
          <w:color w:val="000000"/>
          <w:sz w:val="26"/>
          <w:szCs w:val="26"/>
          <w:lang w:eastAsia="pt-BR"/>
        </w:rPr>
        <w:t>6 - CONTROLE PROCESSUAL</w:t>
      </w:r>
    </w:p>
    <w:p w14:paraId="116DF32E" w14:textId="77777777" w:rsidR="007B2ADD" w:rsidRDefault="007B2ADD" w:rsidP="007B2ADD">
      <w:pPr>
        <w:pStyle w:val="textojustificado"/>
        <w:spacing w:before="120" w:beforeAutospacing="0" w:after="120" w:afterAutospacing="0"/>
        <w:ind w:left="120" w:right="120"/>
        <w:jc w:val="both"/>
        <w:rPr>
          <w:rFonts w:ascii="Calibri" w:hAnsi="Calibri" w:cs="Calibri"/>
          <w:color w:val="000000"/>
          <w:sz w:val="26"/>
          <w:szCs w:val="26"/>
        </w:rPr>
      </w:pPr>
      <w:r>
        <w:rPr>
          <w:rFonts w:ascii="Calibri" w:hAnsi="Calibri" w:cs="Calibri"/>
          <w:color w:val="000000"/>
          <w:sz w:val="26"/>
          <w:szCs w:val="26"/>
        </w:rPr>
        <w:t>Trata-se o expediente de processo visando o cumprimento de condicionante de compensações florestais minerárias estabelecidas nos autos do Processo de Licenciamento Ambiental Concomitante (LP+LI+LO), PA COPAM 06425/2005/010/2019.  </w:t>
      </w:r>
    </w:p>
    <w:p w14:paraId="4216D78B" w14:textId="77777777" w:rsidR="007B2ADD" w:rsidRDefault="007B2ADD" w:rsidP="007B2ADD">
      <w:pPr>
        <w:pStyle w:val="textojustificado"/>
        <w:spacing w:before="120" w:beforeAutospacing="0" w:after="120" w:afterAutospacing="0"/>
        <w:ind w:left="120" w:right="120"/>
        <w:jc w:val="both"/>
        <w:rPr>
          <w:rFonts w:ascii="Calibri" w:hAnsi="Calibri" w:cs="Calibri"/>
          <w:color w:val="000000"/>
          <w:sz w:val="26"/>
          <w:szCs w:val="26"/>
        </w:rPr>
      </w:pPr>
      <w:r>
        <w:rPr>
          <w:rFonts w:ascii="Calibri" w:hAnsi="Calibri" w:cs="Calibri"/>
          <w:color w:val="000000"/>
          <w:sz w:val="26"/>
          <w:szCs w:val="26"/>
        </w:rPr>
        <w:t>São duas as modalidades das compensações ambientais propostas pelo empreendedor estão previstas. Ei-las:</w:t>
      </w:r>
    </w:p>
    <w:p w14:paraId="0157D34E" w14:textId="77777777" w:rsidR="007B2ADD" w:rsidRDefault="007B2ADD" w:rsidP="007B2ADD">
      <w:pPr>
        <w:pStyle w:val="textojustificado"/>
        <w:spacing w:before="120" w:beforeAutospacing="0" w:after="120" w:afterAutospacing="0"/>
        <w:ind w:left="120" w:right="120"/>
        <w:jc w:val="both"/>
        <w:rPr>
          <w:rFonts w:ascii="Calibri" w:hAnsi="Calibri" w:cs="Calibri"/>
          <w:color w:val="000000"/>
          <w:sz w:val="26"/>
          <w:szCs w:val="26"/>
        </w:rPr>
      </w:pPr>
      <w:r>
        <w:rPr>
          <w:rFonts w:ascii="Calibri" w:hAnsi="Calibri" w:cs="Calibri"/>
          <w:color w:val="000000"/>
          <w:sz w:val="26"/>
          <w:szCs w:val="26"/>
        </w:rPr>
        <w:t>Compensação Minerária prevista no art. 27, I da Portaria IEF nº 27, de 07 de abril de 2017, que estabelece procedimentos para o  cumprimento da medida compensatória a que se refere o §2º do art. 75 da Lei  Estadual n° 20.922/2013 e dá outras providências, a qual estabelece que: </w:t>
      </w:r>
      <w:r>
        <w:rPr>
          <w:rStyle w:val="nfase"/>
          <w:rFonts w:ascii="Calibri" w:hAnsi="Calibri" w:cs="Calibri"/>
          <w:color w:val="000000"/>
          <w:sz w:val="26"/>
          <w:szCs w:val="26"/>
        </w:rPr>
        <w:t>“A compensação florestal a que se refere o §2º do art. 75 da Lei Estadual nº 20.922/2013 implica na adoção das seguintes medidas por parte do empreendedor: I - a destinação, mediante doação ao Poder Público, de área no mínimo equivalente à extensão da área efetivamente ocupada pelo  empreendimento, localizada no interior de Unidade de Conservação de Proteção Integral pendente de regularização fundiária; (...)”</w:t>
      </w:r>
      <w:r>
        <w:rPr>
          <w:rFonts w:ascii="Calibri" w:hAnsi="Calibri" w:cs="Calibri"/>
          <w:color w:val="000000"/>
          <w:sz w:val="26"/>
          <w:szCs w:val="26"/>
        </w:rPr>
        <w:t>; </w:t>
      </w:r>
    </w:p>
    <w:p w14:paraId="215208B7" w14:textId="77777777" w:rsidR="007B2ADD" w:rsidRDefault="007B2ADD" w:rsidP="007B2ADD">
      <w:pPr>
        <w:pStyle w:val="textojustificado"/>
        <w:spacing w:before="120" w:beforeAutospacing="0" w:after="120" w:afterAutospacing="0"/>
        <w:ind w:left="120" w:right="120"/>
        <w:jc w:val="both"/>
        <w:rPr>
          <w:rFonts w:ascii="Calibri" w:hAnsi="Calibri" w:cs="Calibri"/>
          <w:color w:val="000000"/>
          <w:sz w:val="26"/>
          <w:szCs w:val="26"/>
        </w:rPr>
      </w:pPr>
      <w:r>
        <w:rPr>
          <w:rFonts w:ascii="Calibri" w:hAnsi="Calibri" w:cs="Calibri"/>
          <w:color w:val="000000"/>
          <w:sz w:val="26"/>
          <w:szCs w:val="26"/>
        </w:rPr>
        <w:lastRenderedPageBreak/>
        <w:t>Compensação Minerária prevista no art. 71, §2º do Decreto Estadual nº 47.749/2013, que dispõe sobre os processos de autorização para intervenção ambiental e sobre a produção florestal no âmbito do Estado de Minas Gerais e dá outras providências, a que se refere o §1º do art. 75 da Lei  Estadual n° 20.922/2013, o qual estabelece que: </w:t>
      </w:r>
      <w:r>
        <w:rPr>
          <w:rStyle w:val="nfase"/>
          <w:rFonts w:ascii="Calibri" w:hAnsi="Calibri" w:cs="Calibri"/>
          <w:color w:val="000000"/>
          <w:sz w:val="26"/>
          <w:szCs w:val="26"/>
        </w:rPr>
        <w:t>“Os empreendimentos cujos processos de instalação ou de operação corretivas tenham sido formalizados após 17 de outubro de 2013 e cuja implantação tenha ocorrido antes dessa data, ficam sujeitos ao §1º do art. 75 da Lei nº 20.922, de 2013, devendo a proposta de compensação minerária guardar equivalência com a extensão total da área de vegetação nativa suprimida desde o início da sua instalação; (...)”</w:t>
      </w:r>
    </w:p>
    <w:p w14:paraId="632522DB" w14:textId="77777777" w:rsidR="007B2ADD" w:rsidRDefault="007B2ADD" w:rsidP="007B2ADD">
      <w:pPr>
        <w:pStyle w:val="textojustificado"/>
        <w:spacing w:before="120" w:beforeAutospacing="0" w:after="120" w:afterAutospacing="0"/>
        <w:ind w:left="120" w:right="120"/>
        <w:jc w:val="both"/>
        <w:rPr>
          <w:rFonts w:ascii="Calibri" w:hAnsi="Calibri" w:cs="Calibri"/>
          <w:color w:val="000000"/>
          <w:sz w:val="26"/>
          <w:szCs w:val="26"/>
        </w:rPr>
      </w:pPr>
      <w:r>
        <w:rPr>
          <w:rFonts w:ascii="Calibri" w:hAnsi="Calibri" w:cs="Calibri"/>
          <w:color w:val="000000"/>
          <w:sz w:val="26"/>
          <w:szCs w:val="26"/>
        </w:rPr>
        <w:t>Em termos concretos, para as duas modalidades de compensação Florestal Minerária, a incidirem sobre a ADA de </w:t>
      </w:r>
      <w:r>
        <w:rPr>
          <w:rStyle w:val="Forte"/>
          <w:rFonts w:ascii="Calibri" w:hAnsi="Calibri" w:cs="Calibri"/>
          <w:color w:val="000000"/>
          <w:sz w:val="26"/>
          <w:szCs w:val="26"/>
        </w:rPr>
        <w:t>17,2975</w:t>
      </w:r>
      <w:r>
        <w:rPr>
          <w:rFonts w:ascii="Calibri" w:hAnsi="Calibri" w:cs="Calibri"/>
          <w:color w:val="000000"/>
          <w:sz w:val="26"/>
          <w:szCs w:val="26"/>
        </w:rPr>
        <w:t> hectares do empreendimento, para atendimento aos §§1º e 2º, do artigo 75, da Lei Estadual 20.922/2013, ficaram assim configuradas as compensações:</w:t>
      </w:r>
    </w:p>
    <w:p w14:paraId="22B710C0" w14:textId="77777777" w:rsidR="007B2ADD" w:rsidRDefault="007B2ADD" w:rsidP="007B2ADD">
      <w:pPr>
        <w:pStyle w:val="textojustificado"/>
        <w:numPr>
          <w:ilvl w:val="0"/>
          <w:numId w:val="3"/>
        </w:numPr>
        <w:spacing w:before="120" w:beforeAutospacing="0" w:after="120" w:afterAutospacing="0"/>
        <w:ind w:left="840" w:right="120" w:firstLine="0"/>
        <w:jc w:val="both"/>
        <w:rPr>
          <w:rFonts w:ascii="Calibri" w:hAnsi="Calibri" w:cs="Calibri"/>
          <w:color w:val="000000"/>
          <w:sz w:val="26"/>
          <w:szCs w:val="26"/>
        </w:rPr>
      </w:pPr>
      <w:r>
        <w:rPr>
          <w:rStyle w:val="Forte"/>
          <w:rFonts w:ascii="Calibri" w:hAnsi="Calibri" w:cs="Calibri"/>
          <w:color w:val="000000"/>
          <w:sz w:val="26"/>
          <w:szCs w:val="26"/>
        </w:rPr>
        <w:t>17,4591</w:t>
      </w:r>
      <w:r>
        <w:rPr>
          <w:rFonts w:ascii="Calibri" w:hAnsi="Calibri" w:cs="Calibri"/>
          <w:color w:val="000000"/>
          <w:sz w:val="26"/>
          <w:szCs w:val="26"/>
        </w:rPr>
        <w:t> </w:t>
      </w:r>
      <w:r>
        <w:rPr>
          <w:rStyle w:val="Forte"/>
          <w:rFonts w:ascii="Calibri" w:hAnsi="Calibri" w:cs="Calibri"/>
          <w:color w:val="000000"/>
          <w:sz w:val="26"/>
          <w:szCs w:val="26"/>
        </w:rPr>
        <w:t>ha</w:t>
      </w:r>
      <w:r>
        <w:rPr>
          <w:rFonts w:ascii="Calibri" w:hAnsi="Calibri" w:cs="Calibri"/>
          <w:color w:val="000000"/>
          <w:sz w:val="26"/>
          <w:szCs w:val="26"/>
        </w:rPr>
        <w:t>, sendo em </w:t>
      </w:r>
      <w:r>
        <w:rPr>
          <w:rStyle w:val="Forte"/>
          <w:rFonts w:ascii="Calibri" w:hAnsi="Calibri" w:cs="Calibri"/>
          <w:color w:val="000000"/>
          <w:sz w:val="26"/>
          <w:szCs w:val="26"/>
        </w:rPr>
        <w:t>6,1920 ha</w:t>
      </w:r>
      <w:r>
        <w:rPr>
          <w:rFonts w:ascii="Calibri" w:hAnsi="Calibri" w:cs="Calibri"/>
          <w:color w:val="000000"/>
          <w:sz w:val="26"/>
          <w:szCs w:val="26"/>
        </w:rPr>
        <w:t> em uma propriedade denominada MANGUARA, Certidão de Matrícula nº 9.193 (Doc. </w:t>
      </w:r>
      <w:hyperlink r:id="rId15" w:tgtFrame="_blank" w:history="1">
        <w:r>
          <w:rPr>
            <w:rStyle w:val="Hyperlink"/>
            <w:rFonts w:ascii="Calibri" w:hAnsi="Calibri" w:cs="Calibri"/>
            <w:sz w:val="26"/>
            <w:szCs w:val="26"/>
          </w:rPr>
          <w:t>17600811</w:t>
        </w:r>
      </w:hyperlink>
      <w:r>
        <w:rPr>
          <w:rFonts w:ascii="Calibri" w:hAnsi="Calibri" w:cs="Calibri"/>
          <w:color w:val="000000"/>
          <w:sz w:val="26"/>
          <w:szCs w:val="26"/>
        </w:rPr>
        <w:t xml:space="preserve">), localizada e registrada no CRI do município e Comarca de </w:t>
      </w:r>
      <w:proofErr w:type="spellStart"/>
      <w:r>
        <w:rPr>
          <w:rFonts w:ascii="Calibri" w:hAnsi="Calibri" w:cs="Calibri"/>
          <w:color w:val="000000"/>
          <w:sz w:val="26"/>
          <w:szCs w:val="26"/>
        </w:rPr>
        <w:t>Itamonte</w:t>
      </w:r>
      <w:proofErr w:type="spellEnd"/>
      <w:r>
        <w:rPr>
          <w:rFonts w:ascii="Calibri" w:hAnsi="Calibri" w:cs="Calibri"/>
          <w:color w:val="000000"/>
          <w:sz w:val="26"/>
          <w:szCs w:val="26"/>
        </w:rPr>
        <w:t>/MG; e em </w:t>
      </w:r>
      <w:r>
        <w:rPr>
          <w:rStyle w:val="Forte"/>
          <w:rFonts w:ascii="Calibri" w:hAnsi="Calibri" w:cs="Calibri"/>
          <w:color w:val="000000"/>
          <w:sz w:val="26"/>
          <w:szCs w:val="26"/>
        </w:rPr>
        <w:t>11,2671</w:t>
      </w:r>
      <w:r>
        <w:rPr>
          <w:rFonts w:ascii="Calibri" w:hAnsi="Calibri" w:cs="Calibri"/>
          <w:color w:val="000000"/>
          <w:sz w:val="26"/>
          <w:szCs w:val="26"/>
        </w:rPr>
        <w:t> </w:t>
      </w:r>
      <w:r>
        <w:rPr>
          <w:rStyle w:val="Forte"/>
          <w:rFonts w:ascii="Calibri" w:hAnsi="Calibri" w:cs="Calibri"/>
          <w:color w:val="000000"/>
          <w:sz w:val="26"/>
          <w:szCs w:val="26"/>
        </w:rPr>
        <w:t>ha</w:t>
      </w:r>
      <w:r>
        <w:rPr>
          <w:rFonts w:ascii="Calibri" w:hAnsi="Calibri" w:cs="Calibri"/>
          <w:color w:val="000000"/>
          <w:sz w:val="26"/>
          <w:szCs w:val="26"/>
        </w:rPr>
        <w:t> em uma propriedade denominada CAMPO SANTO ANTÔNIO, Certidão de Matrícula 21.734 (Doc. </w:t>
      </w:r>
      <w:hyperlink r:id="rId16" w:tgtFrame="_blank" w:history="1">
        <w:r>
          <w:rPr>
            <w:rStyle w:val="Hyperlink"/>
            <w:rFonts w:ascii="Calibri" w:hAnsi="Calibri" w:cs="Calibri"/>
            <w:sz w:val="26"/>
            <w:szCs w:val="26"/>
          </w:rPr>
          <w:t>35671323</w:t>
        </w:r>
      </w:hyperlink>
      <w:r>
        <w:rPr>
          <w:rFonts w:ascii="Calibri" w:hAnsi="Calibri" w:cs="Calibri"/>
          <w:color w:val="000000"/>
          <w:sz w:val="26"/>
          <w:szCs w:val="26"/>
        </w:rPr>
        <w:t>), localizada e registrada no CRI do município e Comarca de Baependi/MG.</w:t>
      </w:r>
    </w:p>
    <w:p w14:paraId="640A682B" w14:textId="77777777" w:rsidR="007B2ADD" w:rsidRDefault="007B2ADD" w:rsidP="007B2ADD">
      <w:pPr>
        <w:pStyle w:val="textojustificado"/>
        <w:numPr>
          <w:ilvl w:val="0"/>
          <w:numId w:val="3"/>
        </w:numPr>
        <w:spacing w:before="120" w:beforeAutospacing="0" w:after="120" w:afterAutospacing="0"/>
        <w:ind w:left="840" w:right="120" w:firstLine="0"/>
        <w:jc w:val="both"/>
        <w:rPr>
          <w:rFonts w:ascii="Calibri" w:hAnsi="Calibri" w:cs="Calibri"/>
          <w:color w:val="000000"/>
          <w:sz w:val="26"/>
          <w:szCs w:val="26"/>
        </w:rPr>
      </w:pPr>
      <w:r>
        <w:rPr>
          <w:rFonts w:ascii="Calibri" w:hAnsi="Calibri" w:cs="Calibri"/>
          <w:color w:val="000000"/>
          <w:sz w:val="26"/>
          <w:szCs w:val="26"/>
        </w:rPr>
        <w:t>As propriedades estão devidamente registradas no SICAR (Doc. </w:t>
      </w:r>
      <w:hyperlink r:id="rId17" w:tgtFrame="_blank" w:history="1">
        <w:r>
          <w:rPr>
            <w:rStyle w:val="Hyperlink"/>
            <w:rFonts w:ascii="Calibri" w:hAnsi="Calibri" w:cs="Calibri"/>
            <w:sz w:val="26"/>
            <w:szCs w:val="26"/>
          </w:rPr>
          <w:t>23739488</w:t>
        </w:r>
      </w:hyperlink>
      <w:r>
        <w:rPr>
          <w:rFonts w:ascii="Calibri" w:hAnsi="Calibri" w:cs="Calibri"/>
          <w:color w:val="000000"/>
          <w:sz w:val="26"/>
          <w:szCs w:val="26"/>
        </w:rPr>
        <w:t> e </w:t>
      </w:r>
      <w:hyperlink r:id="rId18" w:tgtFrame="_blank" w:history="1">
        <w:r>
          <w:rPr>
            <w:rStyle w:val="Hyperlink"/>
            <w:rFonts w:ascii="Calibri" w:hAnsi="Calibri" w:cs="Calibri"/>
            <w:sz w:val="26"/>
            <w:szCs w:val="26"/>
          </w:rPr>
          <w:t>35671321</w:t>
        </w:r>
      </w:hyperlink>
      <w:r>
        <w:rPr>
          <w:rFonts w:ascii="Calibri" w:hAnsi="Calibri" w:cs="Calibri"/>
          <w:color w:val="000000"/>
          <w:sz w:val="26"/>
          <w:szCs w:val="26"/>
        </w:rPr>
        <w:t>).</w:t>
      </w:r>
    </w:p>
    <w:p w14:paraId="7E4B3254" w14:textId="77777777" w:rsidR="007B2ADD" w:rsidRDefault="007B2ADD" w:rsidP="007B2ADD">
      <w:pPr>
        <w:pStyle w:val="textojustificado"/>
        <w:spacing w:before="120" w:beforeAutospacing="0" w:after="120" w:afterAutospacing="0"/>
        <w:ind w:left="120" w:right="120"/>
        <w:jc w:val="both"/>
        <w:rPr>
          <w:rFonts w:ascii="Calibri" w:hAnsi="Calibri" w:cs="Calibri"/>
          <w:color w:val="000000"/>
          <w:sz w:val="26"/>
          <w:szCs w:val="26"/>
        </w:rPr>
      </w:pPr>
      <w:r>
        <w:rPr>
          <w:rFonts w:ascii="Calibri" w:hAnsi="Calibri" w:cs="Calibri"/>
          <w:color w:val="000000"/>
          <w:sz w:val="26"/>
          <w:szCs w:val="26"/>
        </w:rPr>
        <w:t>Destarte, as áreas/propriedades ofertadas abarcam as compensações ambientais previstas nos §§1º e 2º, da Lei 20.922/13.</w:t>
      </w:r>
    </w:p>
    <w:p w14:paraId="25D6B242" w14:textId="77777777" w:rsidR="007B2ADD" w:rsidRDefault="007B2ADD" w:rsidP="007B2ADD">
      <w:pPr>
        <w:pStyle w:val="textojustificado"/>
        <w:spacing w:before="120" w:beforeAutospacing="0" w:after="120" w:afterAutospacing="0"/>
        <w:ind w:left="120" w:right="120"/>
        <w:jc w:val="both"/>
        <w:rPr>
          <w:rFonts w:ascii="Calibri" w:hAnsi="Calibri" w:cs="Calibri"/>
          <w:color w:val="000000"/>
          <w:sz w:val="26"/>
          <w:szCs w:val="26"/>
        </w:rPr>
      </w:pPr>
      <w:r>
        <w:rPr>
          <w:rFonts w:ascii="Calibri" w:hAnsi="Calibri" w:cs="Calibri"/>
          <w:color w:val="000000"/>
          <w:sz w:val="26"/>
          <w:szCs w:val="26"/>
        </w:rPr>
        <w:t xml:space="preserve">Dessa forma, no que se refere à proporcionalidade de área, a área total do empreendimento, abrange os compromissos referentes a ambos os parágrafos do artigo 75 da Lei Estadual 20.922/13, incluindo todas as estruturas adjuntas do empreendimento. Dessa forma, tem-se atendido o §1º do art. 75 </w:t>
      </w:r>
      <w:proofErr w:type="spellStart"/>
      <w:r>
        <w:rPr>
          <w:rFonts w:ascii="Calibri" w:hAnsi="Calibri" w:cs="Calibri"/>
          <w:color w:val="000000"/>
          <w:sz w:val="26"/>
          <w:szCs w:val="26"/>
        </w:rPr>
        <w:t>retrocitado</w:t>
      </w:r>
      <w:proofErr w:type="spellEnd"/>
      <w:r>
        <w:rPr>
          <w:rFonts w:ascii="Calibri" w:hAnsi="Calibri" w:cs="Calibri"/>
          <w:color w:val="000000"/>
          <w:sz w:val="26"/>
          <w:szCs w:val="26"/>
        </w:rPr>
        <w:t>, cujo texto segue transcrito:</w:t>
      </w:r>
    </w:p>
    <w:p w14:paraId="38815DA0" w14:textId="77777777" w:rsidR="007B2ADD" w:rsidRDefault="007B2ADD" w:rsidP="007B2ADD">
      <w:pPr>
        <w:pStyle w:val="citacao"/>
        <w:spacing w:before="80" w:beforeAutospacing="0" w:after="80" w:afterAutospacing="0"/>
        <w:ind w:left="2400"/>
        <w:jc w:val="both"/>
        <w:rPr>
          <w:rFonts w:ascii="Calibri" w:hAnsi="Calibri" w:cs="Calibri"/>
          <w:color w:val="000000"/>
          <w:sz w:val="26"/>
          <w:szCs w:val="26"/>
        </w:rPr>
      </w:pPr>
      <w:r>
        <w:rPr>
          <w:rStyle w:val="nfase"/>
          <w:rFonts w:ascii="Calibri" w:hAnsi="Calibri" w:cs="Calibri"/>
          <w:color w:val="000000"/>
          <w:sz w:val="26"/>
          <w:szCs w:val="26"/>
        </w:rPr>
        <w:t>Art. 75 (...)</w:t>
      </w:r>
    </w:p>
    <w:p w14:paraId="55F1A02F" w14:textId="77777777" w:rsidR="007B2ADD" w:rsidRDefault="007B2ADD" w:rsidP="007B2ADD">
      <w:pPr>
        <w:pStyle w:val="citacao"/>
        <w:spacing w:before="80" w:beforeAutospacing="0" w:after="80" w:afterAutospacing="0"/>
        <w:ind w:left="2400"/>
        <w:jc w:val="both"/>
        <w:rPr>
          <w:rFonts w:ascii="Calibri" w:hAnsi="Calibri" w:cs="Calibri"/>
          <w:color w:val="000000"/>
          <w:sz w:val="26"/>
          <w:szCs w:val="26"/>
        </w:rPr>
      </w:pPr>
      <w:r>
        <w:rPr>
          <w:rStyle w:val="nfase"/>
          <w:rFonts w:ascii="Calibri" w:hAnsi="Calibri" w:cs="Calibri"/>
          <w:color w:val="000000"/>
          <w:sz w:val="26"/>
          <w:szCs w:val="26"/>
        </w:rPr>
        <w:t>§ 1º A área utilizada como medida compensatória nos termos do caput não será inferior àquela que tiver vegetação nativa suprimida pelo empreendimento para extração do bem mineral, construção de estradas, construções diversas, beneficiamento ou estocagem, embarque e outras finalidades.</w:t>
      </w:r>
    </w:p>
    <w:p w14:paraId="319B1BD8" w14:textId="77777777" w:rsidR="007B2ADD" w:rsidRDefault="007B2ADD" w:rsidP="007B2ADD">
      <w:pPr>
        <w:pStyle w:val="citacao"/>
        <w:spacing w:before="80" w:beforeAutospacing="0" w:after="80" w:afterAutospacing="0"/>
        <w:ind w:left="2400"/>
        <w:jc w:val="both"/>
        <w:rPr>
          <w:rFonts w:ascii="Calibri" w:hAnsi="Calibri" w:cs="Calibri"/>
          <w:color w:val="000000"/>
          <w:sz w:val="26"/>
          <w:szCs w:val="26"/>
        </w:rPr>
      </w:pPr>
      <w:r>
        <w:rPr>
          <w:rStyle w:val="nfase"/>
          <w:rFonts w:ascii="Calibri" w:hAnsi="Calibri" w:cs="Calibri"/>
          <w:color w:val="000000"/>
          <w:sz w:val="26"/>
          <w:szCs w:val="26"/>
        </w:rPr>
        <w:t>(...)</w:t>
      </w:r>
    </w:p>
    <w:p w14:paraId="2687EF1C" w14:textId="77777777" w:rsidR="007B2ADD" w:rsidRDefault="007B2ADD" w:rsidP="007B2ADD">
      <w:pPr>
        <w:pStyle w:val="textojustificado"/>
        <w:spacing w:before="120" w:beforeAutospacing="0" w:after="120" w:afterAutospacing="0"/>
        <w:ind w:left="120" w:right="120"/>
        <w:jc w:val="both"/>
        <w:rPr>
          <w:rFonts w:ascii="Calibri" w:hAnsi="Calibri" w:cs="Calibri"/>
          <w:color w:val="000000"/>
          <w:sz w:val="26"/>
          <w:szCs w:val="26"/>
        </w:rPr>
      </w:pPr>
      <w:r>
        <w:rPr>
          <w:rFonts w:ascii="Calibri" w:hAnsi="Calibri" w:cs="Calibri"/>
          <w:color w:val="000000"/>
          <w:sz w:val="26"/>
          <w:szCs w:val="26"/>
        </w:rPr>
        <w:t xml:space="preserve">No que se refere ao critério da localização quanto à Bacia Hidrográfica, prevista no §4º, e referente ao §2º, do art. 75, da Lei 20.922/13, temos que o </w:t>
      </w:r>
      <w:r>
        <w:rPr>
          <w:rFonts w:ascii="Calibri" w:hAnsi="Calibri" w:cs="Calibri"/>
          <w:color w:val="000000"/>
          <w:sz w:val="26"/>
          <w:szCs w:val="26"/>
        </w:rPr>
        <w:lastRenderedPageBreak/>
        <w:t>empreendimento está localizado na Sub Bacia Hidrográfica dos Afluentes Mineiros do Alto Rio Grande (UPGRH: GD1) e os imóveis objetos da compensação ambiental minerária se localizam na Sub Bacia do Rio Verde (UPGRH: GD4), ambas Sub Bacias pertencentes à Bacia Hidrográfica do Rio Grande. Portanto, critério atendido.</w:t>
      </w:r>
    </w:p>
    <w:p w14:paraId="47ECBD25" w14:textId="77777777" w:rsidR="007B2ADD" w:rsidRDefault="007B2ADD" w:rsidP="007B2ADD">
      <w:pPr>
        <w:pStyle w:val="textojustificado"/>
        <w:spacing w:before="120" w:beforeAutospacing="0" w:after="120" w:afterAutospacing="0"/>
        <w:ind w:left="120" w:right="120"/>
        <w:jc w:val="both"/>
        <w:rPr>
          <w:rFonts w:ascii="Calibri" w:hAnsi="Calibri" w:cs="Calibri"/>
          <w:color w:val="000000"/>
          <w:sz w:val="26"/>
          <w:szCs w:val="26"/>
        </w:rPr>
      </w:pPr>
      <w:r>
        <w:rPr>
          <w:rFonts w:ascii="Calibri" w:hAnsi="Calibri" w:cs="Calibri"/>
          <w:color w:val="000000"/>
          <w:sz w:val="26"/>
          <w:szCs w:val="26"/>
        </w:rPr>
        <w:t>Importante salientar que o empreendedor </w:t>
      </w:r>
      <w:r>
        <w:rPr>
          <w:rStyle w:val="Forte"/>
          <w:rFonts w:ascii="Calibri" w:hAnsi="Calibri" w:cs="Calibri"/>
          <w:color w:val="000000"/>
          <w:sz w:val="26"/>
          <w:szCs w:val="26"/>
        </w:rPr>
        <w:t>já é proprietário </w:t>
      </w:r>
      <w:r>
        <w:rPr>
          <w:rFonts w:ascii="Calibri" w:hAnsi="Calibri" w:cs="Calibri"/>
          <w:color w:val="000000"/>
          <w:sz w:val="26"/>
          <w:szCs w:val="26"/>
        </w:rPr>
        <w:t xml:space="preserve">da Matrícula 9.193, Fazenda </w:t>
      </w:r>
      <w:proofErr w:type="spellStart"/>
      <w:r>
        <w:rPr>
          <w:rFonts w:ascii="Calibri" w:hAnsi="Calibri" w:cs="Calibri"/>
          <w:color w:val="000000"/>
          <w:sz w:val="26"/>
          <w:szCs w:val="26"/>
        </w:rPr>
        <w:t>Manguara</w:t>
      </w:r>
      <w:proofErr w:type="spellEnd"/>
      <w:r>
        <w:rPr>
          <w:rFonts w:ascii="Calibri" w:hAnsi="Calibri" w:cs="Calibri"/>
          <w:color w:val="000000"/>
          <w:sz w:val="26"/>
          <w:szCs w:val="26"/>
        </w:rPr>
        <w:t xml:space="preserve"> (Doc. </w:t>
      </w:r>
      <w:hyperlink r:id="rId19" w:tgtFrame="_blank" w:history="1">
        <w:r>
          <w:rPr>
            <w:rStyle w:val="Hyperlink"/>
            <w:rFonts w:ascii="Calibri" w:hAnsi="Calibri" w:cs="Calibri"/>
            <w:sz w:val="26"/>
            <w:szCs w:val="26"/>
          </w:rPr>
          <w:t>28911188</w:t>
        </w:r>
      </w:hyperlink>
      <w:r>
        <w:rPr>
          <w:rFonts w:ascii="Calibri" w:hAnsi="Calibri" w:cs="Calibri"/>
          <w:color w:val="000000"/>
          <w:sz w:val="26"/>
          <w:szCs w:val="26"/>
        </w:rPr>
        <w:t>), e, também, firmou</w:t>
      </w:r>
      <w:r>
        <w:rPr>
          <w:rStyle w:val="Forte"/>
          <w:rFonts w:ascii="Calibri" w:hAnsi="Calibri" w:cs="Calibri"/>
          <w:color w:val="000000"/>
          <w:sz w:val="26"/>
          <w:szCs w:val="26"/>
        </w:rPr>
        <w:t> Instrumento Particular de Venda e Compra de Imóvel Rural e Outras Avenças</w:t>
      </w:r>
      <w:r>
        <w:rPr>
          <w:rFonts w:ascii="Calibri" w:hAnsi="Calibri" w:cs="Calibri"/>
          <w:color w:val="000000"/>
          <w:sz w:val="26"/>
          <w:szCs w:val="26"/>
        </w:rPr>
        <w:t>, com os proprietários da Matrícula 21.734, Campo Santo Antônio (Doc. </w:t>
      </w:r>
      <w:hyperlink r:id="rId20" w:tgtFrame="_blank" w:history="1">
        <w:r>
          <w:rPr>
            <w:rStyle w:val="Hyperlink"/>
            <w:rFonts w:ascii="Calibri" w:hAnsi="Calibri" w:cs="Calibri"/>
            <w:sz w:val="26"/>
            <w:szCs w:val="26"/>
          </w:rPr>
          <w:t>37607328</w:t>
        </w:r>
      </w:hyperlink>
      <w:r>
        <w:rPr>
          <w:rFonts w:ascii="Calibri" w:hAnsi="Calibri" w:cs="Calibri"/>
          <w:color w:val="000000"/>
          <w:sz w:val="26"/>
          <w:szCs w:val="26"/>
        </w:rPr>
        <w:t>).</w:t>
      </w:r>
    </w:p>
    <w:p w14:paraId="60210237" w14:textId="77777777" w:rsidR="007B2ADD" w:rsidRDefault="007B2ADD" w:rsidP="007B2ADD">
      <w:pPr>
        <w:pStyle w:val="textojustificado"/>
        <w:spacing w:before="120" w:beforeAutospacing="0" w:after="120" w:afterAutospacing="0"/>
        <w:ind w:left="120" w:right="120"/>
        <w:jc w:val="both"/>
        <w:rPr>
          <w:rFonts w:ascii="Calibri" w:hAnsi="Calibri" w:cs="Calibri"/>
          <w:color w:val="000000"/>
          <w:sz w:val="26"/>
          <w:szCs w:val="26"/>
        </w:rPr>
      </w:pPr>
      <w:r>
        <w:rPr>
          <w:rFonts w:ascii="Calibri" w:hAnsi="Calibri" w:cs="Calibri"/>
          <w:color w:val="000000"/>
          <w:sz w:val="26"/>
          <w:szCs w:val="26"/>
        </w:rPr>
        <w:t>As áreas objetos da futura doação ao IEF estão localizadas no interior do Parque Estadual Serra do Papagaio, Unidade de Conservação de Proteção Integral, e consta, no processo, análise da Gerência de Compensação Ambiental e Regularização Fundiária - GCARF, atestando que o imóvel está  localizado no interior do Parque Estadual Serra do Papagaio (Docs. </w:t>
      </w:r>
      <w:hyperlink r:id="rId21" w:tgtFrame="_blank" w:history="1">
        <w:r>
          <w:rPr>
            <w:rStyle w:val="Hyperlink"/>
            <w:rFonts w:ascii="Calibri" w:hAnsi="Calibri" w:cs="Calibri"/>
            <w:sz w:val="26"/>
            <w:szCs w:val="26"/>
          </w:rPr>
          <w:t>17600814</w:t>
        </w:r>
      </w:hyperlink>
      <w:r>
        <w:rPr>
          <w:rFonts w:ascii="Calibri" w:hAnsi="Calibri" w:cs="Calibri"/>
          <w:color w:val="000000"/>
          <w:sz w:val="26"/>
          <w:szCs w:val="26"/>
        </w:rPr>
        <w:t> e </w:t>
      </w:r>
      <w:hyperlink r:id="rId22" w:tgtFrame="_blank" w:history="1">
        <w:r>
          <w:rPr>
            <w:rStyle w:val="Hyperlink"/>
            <w:rFonts w:ascii="Calibri" w:hAnsi="Calibri" w:cs="Calibri"/>
            <w:sz w:val="26"/>
            <w:szCs w:val="26"/>
          </w:rPr>
          <w:t>42942975</w:t>
        </w:r>
      </w:hyperlink>
      <w:r>
        <w:rPr>
          <w:rFonts w:ascii="Calibri" w:hAnsi="Calibri" w:cs="Calibri"/>
          <w:color w:val="000000"/>
          <w:sz w:val="26"/>
          <w:szCs w:val="26"/>
        </w:rPr>
        <w:t>).</w:t>
      </w:r>
    </w:p>
    <w:p w14:paraId="6D5EE6A6" w14:textId="77777777" w:rsidR="007B2ADD" w:rsidRDefault="007B2ADD" w:rsidP="007B2ADD">
      <w:pPr>
        <w:pStyle w:val="textojustificado"/>
        <w:spacing w:before="120" w:beforeAutospacing="0" w:after="120" w:afterAutospacing="0"/>
        <w:ind w:left="120" w:right="120"/>
        <w:jc w:val="both"/>
        <w:rPr>
          <w:rFonts w:ascii="Calibri" w:hAnsi="Calibri" w:cs="Calibri"/>
          <w:color w:val="000000"/>
          <w:sz w:val="26"/>
          <w:szCs w:val="26"/>
        </w:rPr>
      </w:pPr>
      <w:r>
        <w:rPr>
          <w:rFonts w:ascii="Calibri" w:hAnsi="Calibri" w:cs="Calibri"/>
          <w:color w:val="000000"/>
          <w:sz w:val="26"/>
          <w:szCs w:val="26"/>
        </w:rPr>
        <w:t>A certidão Trintenária da Matrícula 9.193 - MANGUARA (Doc. </w:t>
      </w:r>
      <w:hyperlink r:id="rId23" w:tgtFrame="_blank" w:history="1">
        <w:r>
          <w:rPr>
            <w:rStyle w:val="Hyperlink"/>
            <w:rFonts w:ascii="Calibri" w:hAnsi="Calibri" w:cs="Calibri"/>
            <w:sz w:val="26"/>
            <w:szCs w:val="26"/>
          </w:rPr>
          <w:t>28911188</w:t>
        </w:r>
      </w:hyperlink>
      <w:r>
        <w:rPr>
          <w:rFonts w:ascii="Calibri" w:hAnsi="Calibri" w:cs="Calibri"/>
          <w:color w:val="000000"/>
          <w:sz w:val="26"/>
          <w:szCs w:val="26"/>
        </w:rPr>
        <w:t xml:space="preserve">), bem como a Certidão </w:t>
      </w:r>
      <w:proofErr w:type="spellStart"/>
      <w:r>
        <w:rPr>
          <w:rFonts w:ascii="Calibri" w:hAnsi="Calibri" w:cs="Calibri"/>
          <w:color w:val="000000"/>
          <w:sz w:val="26"/>
          <w:szCs w:val="26"/>
        </w:rPr>
        <w:t>Vintenária</w:t>
      </w:r>
      <w:proofErr w:type="spellEnd"/>
      <w:r>
        <w:rPr>
          <w:rFonts w:ascii="Calibri" w:hAnsi="Calibri" w:cs="Calibri"/>
          <w:color w:val="000000"/>
          <w:sz w:val="26"/>
          <w:szCs w:val="26"/>
        </w:rPr>
        <w:t xml:space="preserve"> 21.734 somada à Certidão que a deu origem - Registro Anterior nº 5.882 - CAMPO SANTO ANTÔNIO (Docs. </w:t>
      </w:r>
      <w:hyperlink r:id="rId24" w:tgtFrame="_blank" w:history="1">
        <w:r>
          <w:rPr>
            <w:rStyle w:val="Hyperlink"/>
            <w:rFonts w:ascii="Calibri" w:hAnsi="Calibri" w:cs="Calibri"/>
            <w:sz w:val="26"/>
            <w:szCs w:val="26"/>
          </w:rPr>
          <w:t>42939227</w:t>
        </w:r>
      </w:hyperlink>
      <w:r>
        <w:rPr>
          <w:rFonts w:ascii="Calibri" w:hAnsi="Calibri" w:cs="Calibri"/>
          <w:color w:val="000000"/>
          <w:sz w:val="26"/>
          <w:szCs w:val="26"/>
        </w:rPr>
        <w:t> e </w:t>
      </w:r>
      <w:hyperlink r:id="rId25" w:tgtFrame="_blank" w:history="1">
        <w:r>
          <w:rPr>
            <w:rStyle w:val="Hyperlink"/>
            <w:rFonts w:ascii="Calibri" w:hAnsi="Calibri" w:cs="Calibri"/>
            <w:sz w:val="26"/>
            <w:szCs w:val="26"/>
          </w:rPr>
          <w:t>42939362</w:t>
        </w:r>
      </w:hyperlink>
      <w:r>
        <w:rPr>
          <w:rFonts w:ascii="Calibri" w:hAnsi="Calibri" w:cs="Calibri"/>
          <w:color w:val="000000"/>
          <w:sz w:val="26"/>
          <w:szCs w:val="26"/>
        </w:rPr>
        <w:t>), juntadas ao processo, comprovam a atual propriedade particular dos imóveis, demonstrando, por si só, a pendência fundiária da área a ser doada.</w:t>
      </w:r>
    </w:p>
    <w:p w14:paraId="6CC35302" w14:textId="77777777" w:rsidR="007B2ADD" w:rsidRDefault="007B2ADD" w:rsidP="007B2ADD">
      <w:pPr>
        <w:pStyle w:val="textojustificado"/>
        <w:spacing w:before="120" w:beforeAutospacing="0" w:after="120" w:afterAutospacing="0"/>
        <w:ind w:left="120" w:right="120"/>
        <w:jc w:val="both"/>
        <w:rPr>
          <w:rFonts w:ascii="Calibri" w:hAnsi="Calibri" w:cs="Calibri"/>
          <w:color w:val="000000"/>
          <w:sz w:val="26"/>
          <w:szCs w:val="26"/>
        </w:rPr>
      </w:pPr>
      <w:r>
        <w:rPr>
          <w:rFonts w:ascii="Calibri" w:hAnsi="Calibri" w:cs="Calibri"/>
          <w:color w:val="000000"/>
          <w:sz w:val="26"/>
          <w:szCs w:val="26"/>
        </w:rPr>
        <w:t xml:space="preserve">Ressalta-se, ainda, que a proposta de compensação apresentada pelo empreendedor está em conformidade com a legislação vigente, notadamente com as prerrogativas estabelecidas no artigo 75 da Lei nº 20.922/2013, não havendo ônus reais, nem ações reais ou pessoais </w:t>
      </w:r>
      <w:proofErr w:type="spellStart"/>
      <w:r>
        <w:rPr>
          <w:rFonts w:ascii="Calibri" w:hAnsi="Calibri" w:cs="Calibri"/>
          <w:color w:val="000000"/>
          <w:sz w:val="26"/>
          <w:szCs w:val="26"/>
        </w:rPr>
        <w:t>reipercusórias</w:t>
      </w:r>
      <w:proofErr w:type="spellEnd"/>
      <w:r>
        <w:rPr>
          <w:rFonts w:ascii="Calibri" w:hAnsi="Calibri" w:cs="Calibri"/>
          <w:color w:val="000000"/>
          <w:sz w:val="26"/>
          <w:szCs w:val="26"/>
        </w:rPr>
        <w:t>, que recaiam sobre os imóveis, conforme atestam as certidões de inteiro teor anexadas (Docs. </w:t>
      </w:r>
      <w:hyperlink r:id="rId26" w:tgtFrame="_blank" w:history="1">
        <w:r>
          <w:rPr>
            <w:rStyle w:val="Hyperlink"/>
            <w:rFonts w:ascii="Calibri" w:hAnsi="Calibri" w:cs="Calibri"/>
            <w:sz w:val="26"/>
            <w:szCs w:val="26"/>
          </w:rPr>
          <w:t>28911188</w:t>
        </w:r>
      </w:hyperlink>
      <w:r>
        <w:rPr>
          <w:rFonts w:ascii="Calibri" w:hAnsi="Calibri" w:cs="Calibri"/>
          <w:color w:val="000000"/>
          <w:sz w:val="26"/>
          <w:szCs w:val="26"/>
        </w:rPr>
        <w:t>, pg. 3 e </w:t>
      </w:r>
      <w:hyperlink r:id="rId27" w:tgtFrame="_blank" w:history="1">
        <w:r>
          <w:rPr>
            <w:rStyle w:val="Hyperlink"/>
            <w:rFonts w:ascii="Calibri" w:hAnsi="Calibri" w:cs="Calibri"/>
            <w:sz w:val="26"/>
            <w:szCs w:val="26"/>
          </w:rPr>
          <w:t>42939227</w:t>
        </w:r>
      </w:hyperlink>
      <w:r>
        <w:rPr>
          <w:rFonts w:ascii="Calibri" w:hAnsi="Calibri" w:cs="Calibri"/>
          <w:color w:val="000000"/>
          <w:sz w:val="26"/>
          <w:szCs w:val="26"/>
        </w:rPr>
        <w:t>, pg. 5).</w:t>
      </w:r>
    </w:p>
    <w:p w14:paraId="1C54525D" w14:textId="77777777" w:rsidR="007B2ADD" w:rsidRDefault="007B2ADD" w:rsidP="007B2ADD">
      <w:pPr>
        <w:pStyle w:val="textojustificado"/>
        <w:spacing w:before="120" w:beforeAutospacing="0" w:after="120" w:afterAutospacing="0"/>
        <w:ind w:left="120" w:right="120"/>
        <w:jc w:val="both"/>
        <w:rPr>
          <w:rFonts w:ascii="Calibri" w:hAnsi="Calibri" w:cs="Calibri"/>
          <w:color w:val="000000"/>
          <w:sz w:val="26"/>
          <w:szCs w:val="26"/>
        </w:rPr>
      </w:pPr>
      <w:r>
        <w:rPr>
          <w:rFonts w:ascii="Calibri" w:hAnsi="Calibri" w:cs="Calibri"/>
          <w:color w:val="000000"/>
          <w:sz w:val="26"/>
          <w:szCs w:val="26"/>
        </w:rPr>
        <w:t>O processo encontra-se devidamente formalizado e instruído com a documentação exigida pela Portaria IEF nº 27/2017, sendo que o empreendedor encaminhou todos os documentos solicitados, os quais, após análise abonam a proposta em questão.</w:t>
      </w:r>
    </w:p>
    <w:p w14:paraId="69E87D25" w14:textId="77777777" w:rsidR="007B2ADD" w:rsidRDefault="007B2ADD" w:rsidP="007B2ADD">
      <w:pPr>
        <w:pStyle w:val="textojustificado"/>
        <w:spacing w:before="120" w:beforeAutospacing="0" w:after="120" w:afterAutospacing="0"/>
        <w:ind w:left="120" w:right="120"/>
        <w:jc w:val="both"/>
        <w:rPr>
          <w:rFonts w:ascii="Calibri" w:hAnsi="Calibri" w:cs="Calibri"/>
          <w:color w:val="000000"/>
          <w:sz w:val="26"/>
          <w:szCs w:val="26"/>
        </w:rPr>
      </w:pPr>
      <w:r>
        <w:rPr>
          <w:rFonts w:ascii="Calibri" w:hAnsi="Calibri" w:cs="Calibri"/>
          <w:color w:val="000000"/>
          <w:sz w:val="26"/>
          <w:szCs w:val="26"/>
        </w:rPr>
        <w:t>Imprescindível asseverar que, caso a presente proposta seja aprovada pela CPB/COPAM, o empreendedor se comprometerá, via assinatura de Termo de Compromisso de Compensação Florestal Minerária – TCCFM, a proceder a doação da área mediante a lavratura de escritura pública de doação do imóvel ao órgão gestor da unidade e consequente registro perante o Cartório de Registro de Imóveis competente.</w:t>
      </w:r>
    </w:p>
    <w:p w14:paraId="1715D999" w14:textId="77777777" w:rsidR="007B2ADD" w:rsidRDefault="007B2ADD" w:rsidP="007B2ADD">
      <w:pPr>
        <w:pStyle w:val="textojustificado"/>
        <w:spacing w:before="120" w:beforeAutospacing="0" w:after="120" w:afterAutospacing="0"/>
        <w:ind w:left="120" w:right="120"/>
        <w:jc w:val="both"/>
        <w:rPr>
          <w:rFonts w:ascii="Calibri" w:hAnsi="Calibri" w:cs="Calibri"/>
          <w:color w:val="000000"/>
          <w:sz w:val="26"/>
          <w:szCs w:val="26"/>
        </w:rPr>
      </w:pPr>
      <w:r>
        <w:rPr>
          <w:rFonts w:ascii="Calibri" w:hAnsi="Calibri" w:cs="Calibri"/>
          <w:color w:val="000000"/>
          <w:sz w:val="26"/>
          <w:szCs w:val="26"/>
        </w:rPr>
        <w:t>Assim, uma vez que a documentação exigida, bem como, a proposta apresentada atende aos requisitos técnicos e legais, entende-se que não há óbice para o acatamento da proposta.</w:t>
      </w:r>
    </w:p>
    <w:p w14:paraId="3C497E4D" w14:textId="77777777" w:rsidR="00C20C06" w:rsidRDefault="00C20C06">
      <w:pPr>
        <w:spacing w:before="120" w:after="120" w:line="240" w:lineRule="auto"/>
        <w:ind w:right="120"/>
        <w:jc w:val="both"/>
        <w:rPr>
          <w:rFonts w:eastAsia="Times New Roman" w:cstheme="minorHAnsi"/>
          <w:color w:val="000000"/>
          <w:sz w:val="26"/>
          <w:szCs w:val="26"/>
          <w:highlight w:val="yellow"/>
          <w:lang w:eastAsia="pt-BR"/>
        </w:rPr>
      </w:pPr>
    </w:p>
    <w:p w14:paraId="6A7F20E5" w14:textId="77777777" w:rsidR="00C20C06" w:rsidRDefault="006D74F8">
      <w:pPr>
        <w:shd w:val="clear" w:color="auto" w:fill="E6E6E6"/>
        <w:spacing w:before="120" w:after="120" w:line="240" w:lineRule="auto"/>
        <w:ind w:left="120" w:right="120"/>
        <w:jc w:val="both"/>
        <w:rPr>
          <w:rFonts w:ascii="Arial" w:hAnsi="Arial" w:cs="Arial"/>
        </w:rPr>
      </w:pPr>
      <w:r>
        <w:rPr>
          <w:rFonts w:eastAsia="Times New Roman" w:cstheme="minorHAnsi"/>
          <w:b/>
          <w:bCs/>
          <w:caps/>
          <w:color w:val="000000"/>
          <w:sz w:val="26"/>
          <w:szCs w:val="26"/>
          <w:lang w:eastAsia="pt-BR"/>
        </w:rPr>
        <w:lastRenderedPageBreak/>
        <w:t>7 - CONCLUSÃO</w:t>
      </w:r>
    </w:p>
    <w:p w14:paraId="2A1DD1A0" w14:textId="77777777" w:rsidR="006D74F8" w:rsidRDefault="006D74F8">
      <w:pPr>
        <w:spacing w:before="120" w:after="120" w:line="240" w:lineRule="auto"/>
        <w:ind w:right="-426"/>
        <w:jc w:val="both"/>
        <w:rPr>
          <w:rFonts w:cs="Arial"/>
          <w:sz w:val="26"/>
          <w:szCs w:val="26"/>
        </w:rPr>
      </w:pPr>
    </w:p>
    <w:p w14:paraId="54FFB832" w14:textId="77777777" w:rsidR="00C20C06" w:rsidRDefault="006D74F8">
      <w:pPr>
        <w:spacing w:before="120" w:after="120" w:line="240" w:lineRule="auto"/>
        <w:ind w:right="-426"/>
        <w:jc w:val="both"/>
        <w:rPr>
          <w:rFonts w:cs="Arial"/>
          <w:sz w:val="26"/>
          <w:szCs w:val="26"/>
        </w:rPr>
      </w:pPr>
      <w:r>
        <w:rPr>
          <w:rFonts w:cs="Arial"/>
          <w:sz w:val="26"/>
          <w:szCs w:val="26"/>
        </w:rPr>
        <w:t>Considerando-se a análise realizada, infere-se que o presente processo encontra-se apto para deliberação pela Câmara de Proteção à Biodiversidade e Áreas Protegidas - CPB do COPAM, nos termos do Art. 13 do Decreto Estadual nº 46.953/2016, o qual dispõe sobre a organização do Conselho Estadual de Política Ambiental – COPAM, de que trata a Lei nº 21.972, de 21 de janeiro de 2016.</w:t>
      </w:r>
    </w:p>
    <w:p w14:paraId="714A4488" w14:textId="77777777" w:rsidR="00C20C06" w:rsidRDefault="006D74F8">
      <w:pPr>
        <w:spacing w:before="120" w:after="120" w:line="240" w:lineRule="auto"/>
        <w:ind w:right="-426"/>
        <w:jc w:val="both"/>
        <w:rPr>
          <w:rFonts w:cs="Arial"/>
          <w:sz w:val="26"/>
          <w:szCs w:val="26"/>
        </w:rPr>
      </w:pPr>
      <w:r>
        <w:rPr>
          <w:rFonts w:cs="Arial"/>
          <w:sz w:val="26"/>
          <w:szCs w:val="26"/>
        </w:rPr>
        <w:t xml:space="preserve">Outrossim, considerando os aspectos técnicos descritos e analisados, bem como a inexistência de óbices jurídicos no cumprimento da proposta da Compensação Florestal Minerária em tela, este Parecer é pelo deferimento da proposta de compensação florestal apresentada pelo empreendedor nos termos do PECF analisado. </w:t>
      </w:r>
    </w:p>
    <w:p w14:paraId="49340499" w14:textId="77777777" w:rsidR="00C20C06" w:rsidRDefault="006D74F8">
      <w:pPr>
        <w:spacing w:before="120" w:after="120" w:line="240" w:lineRule="auto"/>
        <w:ind w:right="-426"/>
        <w:jc w:val="both"/>
        <w:rPr>
          <w:rFonts w:cs="Arial"/>
          <w:sz w:val="26"/>
          <w:szCs w:val="26"/>
        </w:rPr>
      </w:pPr>
      <w:r>
        <w:rPr>
          <w:rFonts w:cs="Arial"/>
          <w:sz w:val="26"/>
          <w:szCs w:val="26"/>
        </w:rPr>
        <w:t>Ressalta-se, finalmente, que o cumprimento da compensação minerária em tela não exclui a obrigação de o empreendedor atender às demais condicionantes definidas no âmbito do processo de licenciamento ambiental.</w:t>
      </w:r>
    </w:p>
    <w:p w14:paraId="6BA150B3" w14:textId="77777777" w:rsidR="00C20C06" w:rsidRDefault="006D74F8">
      <w:pPr>
        <w:spacing w:before="120" w:after="120" w:line="240" w:lineRule="auto"/>
        <w:ind w:left="120" w:right="120" w:firstLine="1418"/>
        <w:jc w:val="both"/>
        <w:rPr>
          <w:rFonts w:eastAsia="Times New Roman" w:cstheme="minorHAnsi"/>
          <w:color w:val="000000"/>
          <w:sz w:val="26"/>
          <w:szCs w:val="26"/>
          <w:lang w:eastAsia="pt-BR"/>
        </w:rPr>
      </w:pPr>
      <w:r>
        <w:rPr>
          <w:rFonts w:eastAsia="Times New Roman" w:cstheme="minorHAnsi"/>
          <w:color w:val="000000"/>
          <w:sz w:val="26"/>
          <w:szCs w:val="26"/>
          <w:lang w:eastAsia="pt-BR"/>
        </w:rPr>
        <w:t> </w:t>
      </w:r>
    </w:p>
    <w:p w14:paraId="26A1CB2E"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Este é o parecer.</w:t>
      </w:r>
    </w:p>
    <w:p w14:paraId="27FC69C5" w14:textId="77777777" w:rsidR="00C20C06" w:rsidRDefault="00C20C06">
      <w:pPr>
        <w:spacing w:before="120" w:after="120" w:line="240" w:lineRule="auto"/>
        <w:ind w:left="120" w:right="120" w:firstLine="1418"/>
        <w:jc w:val="both"/>
        <w:rPr>
          <w:rFonts w:eastAsia="Times New Roman" w:cstheme="minorHAnsi"/>
          <w:color w:val="000000"/>
          <w:sz w:val="26"/>
          <w:szCs w:val="26"/>
          <w:lang w:eastAsia="pt-BR"/>
        </w:rPr>
      </w:pPr>
    </w:p>
    <w:p w14:paraId="19727E0A"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Varginha, ____de __________de 2022.</w:t>
      </w:r>
    </w:p>
    <w:p w14:paraId="585A0672" w14:textId="77777777" w:rsidR="00C20C06" w:rsidRDefault="006D74F8">
      <w:pPr>
        <w:spacing w:before="120" w:after="120" w:line="240" w:lineRule="auto"/>
        <w:ind w:left="120" w:right="120" w:firstLine="1418"/>
        <w:jc w:val="both"/>
        <w:rPr>
          <w:rFonts w:eastAsia="Times New Roman" w:cstheme="minorHAnsi"/>
          <w:color w:val="000000"/>
          <w:sz w:val="26"/>
          <w:szCs w:val="26"/>
          <w:lang w:eastAsia="pt-BR"/>
        </w:rPr>
      </w:pPr>
      <w:r>
        <w:rPr>
          <w:rFonts w:eastAsia="Times New Roman" w:cstheme="minorHAnsi"/>
          <w:color w:val="000000"/>
          <w:sz w:val="26"/>
          <w:szCs w:val="26"/>
          <w:lang w:eastAsia="pt-BR"/>
        </w:rPr>
        <w:t> </w:t>
      </w:r>
    </w:p>
    <w:p w14:paraId="10B621D4" w14:textId="77777777" w:rsidR="00C20C06" w:rsidRDefault="006D74F8">
      <w:pPr>
        <w:spacing w:before="120" w:after="120" w:line="240" w:lineRule="auto"/>
        <w:ind w:left="120" w:right="120" w:firstLine="1418"/>
        <w:jc w:val="both"/>
        <w:rPr>
          <w:rFonts w:eastAsia="Times New Roman" w:cstheme="minorHAnsi"/>
          <w:color w:val="000000"/>
          <w:sz w:val="26"/>
          <w:szCs w:val="26"/>
          <w:lang w:eastAsia="pt-BR"/>
        </w:rPr>
      </w:pPr>
      <w:r>
        <w:rPr>
          <w:rFonts w:eastAsia="Times New Roman" w:cstheme="minorHAnsi"/>
          <w:color w:val="000000"/>
          <w:sz w:val="26"/>
          <w:szCs w:val="26"/>
          <w:lang w:eastAsia="pt-BR"/>
        </w:rPr>
        <w:t> </w:t>
      </w:r>
    </w:p>
    <w:p w14:paraId="363C7066"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Equipe de análise técnica:</w:t>
      </w:r>
    </w:p>
    <w:p w14:paraId="47B0BD3D" w14:textId="77777777" w:rsidR="00C20C06" w:rsidRDefault="00C20C06">
      <w:pPr>
        <w:spacing w:before="120" w:after="120" w:line="240" w:lineRule="auto"/>
        <w:ind w:right="120"/>
        <w:jc w:val="both"/>
        <w:rPr>
          <w:rFonts w:eastAsia="Times New Roman" w:cstheme="minorHAnsi"/>
          <w:color w:val="000000"/>
          <w:sz w:val="26"/>
          <w:szCs w:val="26"/>
          <w:lang w:eastAsia="pt-BR"/>
        </w:rPr>
      </w:pPr>
    </w:p>
    <w:p w14:paraId="6258B23D" w14:textId="77777777" w:rsidR="00C20C06" w:rsidRDefault="006D74F8">
      <w:pPr>
        <w:spacing w:before="120" w:after="120" w:line="240" w:lineRule="auto"/>
        <w:ind w:left="120" w:right="120" w:firstLine="1418"/>
        <w:jc w:val="both"/>
        <w:rPr>
          <w:rFonts w:eastAsia="Times New Roman" w:cstheme="minorHAnsi"/>
          <w:i/>
          <w:color w:val="000000"/>
          <w:sz w:val="26"/>
          <w:szCs w:val="26"/>
          <w:lang w:eastAsia="pt-BR"/>
        </w:rPr>
      </w:pPr>
      <w:r>
        <w:rPr>
          <w:rFonts w:eastAsia="Times New Roman" w:cstheme="minorHAnsi"/>
          <w:i/>
          <w:color w:val="000000"/>
          <w:sz w:val="26"/>
          <w:szCs w:val="26"/>
          <w:lang w:eastAsia="pt-BR"/>
        </w:rPr>
        <w:t>“Assinado digitalmente”</w:t>
      </w:r>
    </w:p>
    <w:p w14:paraId="7FBAA945" w14:textId="77777777" w:rsidR="00C20C06" w:rsidRDefault="006D74F8">
      <w:pPr>
        <w:spacing w:before="120" w:after="120" w:line="240" w:lineRule="auto"/>
        <w:ind w:left="120" w:right="120" w:firstLine="1418"/>
        <w:jc w:val="both"/>
        <w:rPr>
          <w:rFonts w:eastAsia="Times New Roman" w:cstheme="minorHAnsi"/>
          <w:color w:val="000000"/>
          <w:sz w:val="26"/>
          <w:szCs w:val="26"/>
          <w:lang w:eastAsia="pt-BR"/>
        </w:rPr>
      </w:pPr>
      <w:r>
        <w:rPr>
          <w:rFonts w:eastAsia="Times New Roman" w:cstheme="minorHAnsi"/>
          <w:color w:val="000000"/>
          <w:sz w:val="26"/>
          <w:szCs w:val="26"/>
          <w:lang w:eastAsia="pt-BR"/>
        </w:rPr>
        <w:t>Amilton Ferri Vasconcelos</w:t>
      </w:r>
    </w:p>
    <w:p w14:paraId="36FCB779" w14:textId="77777777" w:rsidR="00C20C06" w:rsidRDefault="006D74F8">
      <w:pPr>
        <w:spacing w:before="120" w:after="120" w:line="240" w:lineRule="auto"/>
        <w:ind w:left="120" w:right="120" w:firstLine="1418"/>
        <w:jc w:val="both"/>
        <w:rPr>
          <w:rFonts w:eastAsia="Times New Roman" w:cstheme="minorHAnsi"/>
          <w:b/>
          <w:bCs/>
          <w:color w:val="000000"/>
          <w:sz w:val="26"/>
          <w:szCs w:val="26"/>
          <w:lang w:eastAsia="pt-BR"/>
        </w:rPr>
      </w:pPr>
      <w:r>
        <w:rPr>
          <w:rFonts w:eastAsia="Times New Roman" w:cstheme="minorHAnsi"/>
          <w:b/>
          <w:bCs/>
          <w:color w:val="000000"/>
          <w:sz w:val="26"/>
          <w:szCs w:val="26"/>
          <w:lang w:eastAsia="pt-BR"/>
        </w:rPr>
        <w:t>Coordenador do Núcleo de Biodiversidade</w:t>
      </w:r>
    </w:p>
    <w:p w14:paraId="18177D18" w14:textId="77777777" w:rsidR="00C20C06" w:rsidRDefault="00C20C06">
      <w:pPr>
        <w:spacing w:before="120" w:after="120" w:line="240" w:lineRule="auto"/>
        <w:ind w:left="120" w:right="120" w:firstLine="1418"/>
        <w:jc w:val="both"/>
        <w:rPr>
          <w:rFonts w:eastAsia="Times New Roman" w:cstheme="minorHAnsi"/>
          <w:color w:val="000000"/>
          <w:sz w:val="26"/>
          <w:szCs w:val="26"/>
          <w:lang w:eastAsia="pt-BR"/>
        </w:rPr>
      </w:pPr>
    </w:p>
    <w:p w14:paraId="5826B6EB" w14:textId="77777777" w:rsidR="00C20C06" w:rsidRDefault="006D74F8">
      <w:pPr>
        <w:spacing w:before="120" w:after="120" w:line="240" w:lineRule="auto"/>
        <w:ind w:left="120" w:right="120" w:firstLine="1418"/>
        <w:jc w:val="both"/>
        <w:rPr>
          <w:rFonts w:eastAsia="Times New Roman" w:cstheme="minorHAnsi"/>
          <w:i/>
          <w:color w:val="000000"/>
          <w:sz w:val="26"/>
          <w:szCs w:val="26"/>
          <w:lang w:eastAsia="pt-BR"/>
        </w:rPr>
      </w:pPr>
      <w:r>
        <w:rPr>
          <w:rFonts w:eastAsia="Times New Roman" w:cstheme="minorHAnsi"/>
          <w:i/>
          <w:color w:val="000000"/>
          <w:sz w:val="26"/>
          <w:szCs w:val="26"/>
          <w:lang w:eastAsia="pt-BR"/>
        </w:rPr>
        <w:t>“Assinado digitalmente”</w:t>
      </w:r>
    </w:p>
    <w:p w14:paraId="60442DDC" w14:textId="77777777" w:rsidR="00C20C06" w:rsidRDefault="006D74F8">
      <w:pPr>
        <w:spacing w:before="120" w:after="120" w:line="240" w:lineRule="auto"/>
        <w:ind w:left="120" w:right="120" w:firstLine="1418"/>
        <w:jc w:val="both"/>
        <w:rPr>
          <w:rFonts w:eastAsia="Times New Roman" w:cstheme="minorHAnsi"/>
          <w:color w:val="000000"/>
          <w:sz w:val="26"/>
          <w:szCs w:val="26"/>
          <w:lang w:eastAsia="pt-BR"/>
        </w:rPr>
      </w:pPr>
      <w:r>
        <w:rPr>
          <w:rFonts w:eastAsia="Times New Roman" w:cstheme="minorHAnsi"/>
          <w:color w:val="000000"/>
          <w:sz w:val="26"/>
          <w:szCs w:val="26"/>
          <w:lang w:eastAsia="pt-BR"/>
        </w:rPr>
        <w:t>Ronaldo Carvalho de Figueiredo</w:t>
      </w:r>
    </w:p>
    <w:p w14:paraId="32A03E9E" w14:textId="77777777" w:rsidR="00C20C06" w:rsidRDefault="006D74F8">
      <w:pPr>
        <w:spacing w:before="120" w:after="120" w:line="240" w:lineRule="auto"/>
        <w:ind w:left="120" w:right="120" w:firstLine="1418"/>
        <w:jc w:val="both"/>
        <w:rPr>
          <w:rFonts w:eastAsia="Times New Roman" w:cstheme="minorHAnsi"/>
          <w:color w:val="000000"/>
          <w:sz w:val="26"/>
          <w:szCs w:val="26"/>
          <w:lang w:eastAsia="pt-BR"/>
        </w:rPr>
      </w:pPr>
      <w:r>
        <w:rPr>
          <w:rFonts w:eastAsia="Times New Roman" w:cstheme="minorHAnsi"/>
          <w:b/>
          <w:bCs/>
          <w:color w:val="000000"/>
          <w:sz w:val="26"/>
          <w:szCs w:val="26"/>
          <w:lang w:eastAsia="pt-BR"/>
        </w:rPr>
        <w:t>Coordenador do Núcleo de Controle Processual</w:t>
      </w:r>
    </w:p>
    <w:p w14:paraId="488F0A3D" w14:textId="77777777" w:rsidR="00C20C06" w:rsidRDefault="006D74F8">
      <w:pPr>
        <w:spacing w:before="120" w:after="120" w:line="240" w:lineRule="auto"/>
        <w:ind w:right="120"/>
        <w:jc w:val="both"/>
        <w:rPr>
          <w:rFonts w:eastAsia="Times New Roman" w:cstheme="minorHAnsi"/>
          <w:color w:val="000000"/>
          <w:sz w:val="26"/>
          <w:szCs w:val="26"/>
          <w:lang w:eastAsia="pt-BR"/>
        </w:rPr>
      </w:pPr>
      <w:r>
        <w:rPr>
          <w:rFonts w:eastAsia="Times New Roman" w:cstheme="minorHAnsi"/>
          <w:color w:val="000000"/>
          <w:sz w:val="26"/>
          <w:szCs w:val="26"/>
          <w:lang w:eastAsia="pt-BR"/>
        </w:rPr>
        <w:t>De acordo,</w:t>
      </w:r>
    </w:p>
    <w:p w14:paraId="3288B402" w14:textId="77777777" w:rsidR="00C20C06" w:rsidRDefault="006D74F8">
      <w:pPr>
        <w:spacing w:before="120" w:after="120" w:line="240" w:lineRule="auto"/>
        <w:ind w:left="120" w:right="120" w:firstLine="1418"/>
        <w:jc w:val="both"/>
        <w:rPr>
          <w:rFonts w:eastAsia="Times New Roman" w:cstheme="minorHAnsi"/>
          <w:color w:val="000000"/>
          <w:sz w:val="26"/>
          <w:szCs w:val="26"/>
          <w:lang w:eastAsia="pt-BR"/>
        </w:rPr>
      </w:pPr>
      <w:r>
        <w:rPr>
          <w:rFonts w:eastAsia="Times New Roman" w:cstheme="minorHAnsi"/>
          <w:color w:val="000000"/>
          <w:sz w:val="26"/>
          <w:szCs w:val="26"/>
          <w:lang w:eastAsia="pt-BR"/>
        </w:rPr>
        <w:t> </w:t>
      </w:r>
    </w:p>
    <w:p w14:paraId="416E6F24" w14:textId="77777777" w:rsidR="00C20C06" w:rsidRDefault="006D74F8">
      <w:pPr>
        <w:spacing w:before="120" w:after="120" w:line="240" w:lineRule="auto"/>
        <w:ind w:left="120" w:right="120" w:firstLine="1418"/>
        <w:jc w:val="both"/>
        <w:rPr>
          <w:rFonts w:eastAsia="Times New Roman" w:cstheme="minorHAnsi"/>
          <w:i/>
          <w:color w:val="000000"/>
          <w:sz w:val="26"/>
          <w:szCs w:val="26"/>
          <w:lang w:eastAsia="pt-BR"/>
        </w:rPr>
      </w:pPr>
      <w:r>
        <w:rPr>
          <w:rFonts w:eastAsia="Times New Roman" w:cstheme="minorHAnsi"/>
          <w:color w:val="000000"/>
          <w:sz w:val="26"/>
          <w:szCs w:val="26"/>
          <w:lang w:eastAsia="pt-BR"/>
        </w:rPr>
        <w:t> “</w:t>
      </w:r>
      <w:r>
        <w:rPr>
          <w:rFonts w:eastAsia="Times New Roman" w:cstheme="minorHAnsi"/>
          <w:i/>
          <w:color w:val="000000"/>
          <w:sz w:val="26"/>
          <w:szCs w:val="26"/>
          <w:lang w:eastAsia="pt-BR"/>
        </w:rPr>
        <w:t>Assinado digitalmente”</w:t>
      </w:r>
    </w:p>
    <w:p w14:paraId="44AA9DAE" w14:textId="77777777" w:rsidR="00C20C06" w:rsidRDefault="006D74F8">
      <w:pPr>
        <w:spacing w:before="120" w:after="120" w:line="240" w:lineRule="auto"/>
        <w:ind w:left="120" w:right="120" w:firstLine="1418"/>
        <w:jc w:val="both"/>
        <w:rPr>
          <w:rFonts w:eastAsia="Times New Roman" w:cstheme="minorHAnsi"/>
          <w:color w:val="000000"/>
          <w:sz w:val="26"/>
          <w:szCs w:val="26"/>
          <w:lang w:eastAsia="pt-BR"/>
        </w:rPr>
      </w:pPr>
      <w:r>
        <w:rPr>
          <w:rFonts w:eastAsia="Times New Roman" w:cstheme="minorHAnsi"/>
          <w:color w:val="000000"/>
          <w:sz w:val="26"/>
          <w:szCs w:val="26"/>
          <w:lang w:eastAsia="pt-BR"/>
        </w:rPr>
        <w:t>Anderson Ramiro de Siqueira</w:t>
      </w:r>
    </w:p>
    <w:p w14:paraId="607001BD" w14:textId="77777777" w:rsidR="00C20C06" w:rsidRDefault="006D74F8">
      <w:pPr>
        <w:spacing w:before="120" w:after="120" w:line="240" w:lineRule="auto"/>
        <w:ind w:left="120" w:right="120" w:firstLine="1418"/>
        <w:jc w:val="both"/>
        <w:rPr>
          <w:rFonts w:eastAsia="Times New Roman" w:cstheme="minorHAnsi"/>
          <w:color w:val="000000"/>
          <w:sz w:val="26"/>
          <w:szCs w:val="26"/>
          <w:lang w:eastAsia="pt-BR"/>
        </w:rPr>
      </w:pPr>
      <w:r>
        <w:rPr>
          <w:rFonts w:eastAsia="Times New Roman" w:cstheme="minorHAnsi"/>
          <w:b/>
          <w:bCs/>
          <w:color w:val="000000"/>
          <w:sz w:val="26"/>
          <w:szCs w:val="26"/>
          <w:lang w:eastAsia="pt-BR"/>
        </w:rPr>
        <w:t xml:space="preserve">Supervisor </w:t>
      </w:r>
      <w:r>
        <w:rPr>
          <w:rFonts w:eastAsia="Times New Roman" w:cstheme="minorHAnsi"/>
          <w:b/>
          <w:bCs/>
          <w:color w:val="000000"/>
          <w:sz w:val="26"/>
          <w:szCs w:val="26"/>
          <w:lang w:val="en-US" w:eastAsia="pt-BR"/>
        </w:rPr>
        <w:t>da</w:t>
      </w:r>
      <w:r>
        <w:rPr>
          <w:rFonts w:eastAsia="Times New Roman" w:cstheme="minorHAnsi"/>
          <w:b/>
          <w:bCs/>
          <w:color w:val="000000"/>
          <w:sz w:val="26"/>
          <w:szCs w:val="26"/>
          <w:lang w:eastAsia="pt-BR"/>
        </w:rPr>
        <w:t xml:space="preserve"> </w:t>
      </w:r>
      <w:proofErr w:type="spellStart"/>
      <w:r>
        <w:rPr>
          <w:rFonts w:eastAsia="Times New Roman" w:cstheme="minorHAnsi"/>
          <w:b/>
          <w:bCs/>
          <w:color w:val="000000"/>
          <w:sz w:val="26"/>
          <w:szCs w:val="26"/>
          <w:lang w:eastAsia="pt-BR"/>
        </w:rPr>
        <w:t>URFBio</w:t>
      </w:r>
      <w:proofErr w:type="spellEnd"/>
      <w:r>
        <w:rPr>
          <w:rFonts w:eastAsia="Times New Roman" w:cstheme="minorHAnsi"/>
          <w:b/>
          <w:bCs/>
          <w:color w:val="000000"/>
          <w:sz w:val="26"/>
          <w:szCs w:val="26"/>
          <w:lang w:eastAsia="pt-BR"/>
        </w:rPr>
        <w:t xml:space="preserve"> Sul</w:t>
      </w:r>
    </w:p>
    <w:p w14:paraId="43FF8E38" w14:textId="77777777" w:rsidR="00C20C06" w:rsidRDefault="00C20C06">
      <w:pPr>
        <w:rPr>
          <w:rFonts w:cstheme="minorHAnsi"/>
          <w:sz w:val="26"/>
          <w:szCs w:val="26"/>
        </w:rPr>
      </w:pPr>
    </w:p>
    <w:sectPr w:rsidR="00C20C06">
      <w:footerReference w:type="default" r:id="rId2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0D188" w14:textId="77777777" w:rsidR="008A203D" w:rsidRDefault="008A203D">
      <w:pPr>
        <w:spacing w:line="240" w:lineRule="auto"/>
      </w:pPr>
      <w:r>
        <w:separator/>
      </w:r>
    </w:p>
  </w:endnote>
  <w:endnote w:type="continuationSeparator" w:id="0">
    <w:p w14:paraId="2AC43EAA" w14:textId="77777777" w:rsidR="008A203D" w:rsidRDefault="008A20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7365140"/>
    </w:sdtPr>
    <w:sdtEndPr/>
    <w:sdtContent>
      <w:p w14:paraId="394A150C" w14:textId="77777777" w:rsidR="00C20C06" w:rsidRDefault="006D74F8">
        <w:pPr>
          <w:pStyle w:val="Rodap"/>
          <w:jc w:val="right"/>
        </w:pPr>
        <w:r>
          <w:fldChar w:fldCharType="begin"/>
        </w:r>
        <w:r>
          <w:instrText>PAGE   \* MERGEFORMAT</w:instrText>
        </w:r>
        <w:r>
          <w:fldChar w:fldCharType="separate"/>
        </w:r>
        <w:r w:rsidR="007B2ADD">
          <w:rPr>
            <w:noProof/>
          </w:rPr>
          <w:t>11</w:t>
        </w:r>
        <w:r>
          <w:fldChar w:fldCharType="end"/>
        </w:r>
      </w:p>
    </w:sdtContent>
  </w:sdt>
  <w:p w14:paraId="6A1634C4" w14:textId="77777777" w:rsidR="00C20C06" w:rsidRDefault="00C20C0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EF26F" w14:textId="77777777" w:rsidR="008A203D" w:rsidRDefault="008A203D">
      <w:pPr>
        <w:spacing w:after="0"/>
      </w:pPr>
      <w:r>
        <w:separator/>
      </w:r>
    </w:p>
  </w:footnote>
  <w:footnote w:type="continuationSeparator" w:id="0">
    <w:p w14:paraId="19B1EDB9" w14:textId="77777777" w:rsidR="008A203D" w:rsidRDefault="008A203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5F299E"/>
    <w:multiLevelType w:val="multilevel"/>
    <w:tmpl w:val="2A5F299E"/>
    <w:lvl w:ilvl="0">
      <w:start w:val="1"/>
      <w:numFmt w:val="bullet"/>
      <w:lvlText w:val=""/>
      <w:lvlJc w:val="left"/>
      <w:pPr>
        <w:ind w:left="1483" w:hanging="360"/>
      </w:pPr>
      <w:rPr>
        <w:rFonts w:ascii="Symbol" w:hAnsi="Symbol" w:hint="default"/>
      </w:rPr>
    </w:lvl>
    <w:lvl w:ilvl="1">
      <w:start w:val="1"/>
      <w:numFmt w:val="bullet"/>
      <w:lvlText w:val="o"/>
      <w:lvlJc w:val="left"/>
      <w:pPr>
        <w:ind w:left="2203" w:hanging="360"/>
      </w:pPr>
      <w:rPr>
        <w:rFonts w:ascii="Courier New" w:hAnsi="Courier New" w:cs="Courier New" w:hint="default"/>
      </w:rPr>
    </w:lvl>
    <w:lvl w:ilvl="2">
      <w:start w:val="1"/>
      <w:numFmt w:val="bullet"/>
      <w:lvlText w:val=""/>
      <w:lvlJc w:val="left"/>
      <w:pPr>
        <w:ind w:left="2923" w:hanging="360"/>
      </w:pPr>
      <w:rPr>
        <w:rFonts w:ascii="Wingdings" w:hAnsi="Wingdings" w:hint="default"/>
      </w:rPr>
    </w:lvl>
    <w:lvl w:ilvl="3">
      <w:start w:val="1"/>
      <w:numFmt w:val="bullet"/>
      <w:lvlText w:val=""/>
      <w:lvlJc w:val="left"/>
      <w:pPr>
        <w:ind w:left="3643" w:hanging="360"/>
      </w:pPr>
      <w:rPr>
        <w:rFonts w:ascii="Symbol" w:hAnsi="Symbol" w:hint="default"/>
      </w:rPr>
    </w:lvl>
    <w:lvl w:ilvl="4">
      <w:start w:val="1"/>
      <w:numFmt w:val="bullet"/>
      <w:lvlText w:val="o"/>
      <w:lvlJc w:val="left"/>
      <w:pPr>
        <w:ind w:left="4363" w:hanging="360"/>
      </w:pPr>
      <w:rPr>
        <w:rFonts w:ascii="Courier New" w:hAnsi="Courier New" w:cs="Courier New" w:hint="default"/>
      </w:rPr>
    </w:lvl>
    <w:lvl w:ilvl="5">
      <w:start w:val="1"/>
      <w:numFmt w:val="bullet"/>
      <w:lvlText w:val=""/>
      <w:lvlJc w:val="left"/>
      <w:pPr>
        <w:ind w:left="5083" w:hanging="360"/>
      </w:pPr>
      <w:rPr>
        <w:rFonts w:ascii="Wingdings" w:hAnsi="Wingdings" w:hint="default"/>
      </w:rPr>
    </w:lvl>
    <w:lvl w:ilvl="6">
      <w:start w:val="1"/>
      <w:numFmt w:val="bullet"/>
      <w:lvlText w:val=""/>
      <w:lvlJc w:val="left"/>
      <w:pPr>
        <w:ind w:left="5803" w:hanging="360"/>
      </w:pPr>
      <w:rPr>
        <w:rFonts w:ascii="Symbol" w:hAnsi="Symbol" w:hint="default"/>
      </w:rPr>
    </w:lvl>
    <w:lvl w:ilvl="7">
      <w:start w:val="1"/>
      <w:numFmt w:val="bullet"/>
      <w:lvlText w:val="o"/>
      <w:lvlJc w:val="left"/>
      <w:pPr>
        <w:ind w:left="6523" w:hanging="360"/>
      </w:pPr>
      <w:rPr>
        <w:rFonts w:ascii="Courier New" w:hAnsi="Courier New" w:cs="Courier New" w:hint="default"/>
      </w:rPr>
    </w:lvl>
    <w:lvl w:ilvl="8">
      <w:start w:val="1"/>
      <w:numFmt w:val="bullet"/>
      <w:lvlText w:val=""/>
      <w:lvlJc w:val="left"/>
      <w:pPr>
        <w:ind w:left="7243" w:hanging="360"/>
      </w:pPr>
      <w:rPr>
        <w:rFonts w:ascii="Wingdings" w:hAnsi="Wingdings" w:hint="default"/>
      </w:rPr>
    </w:lvl>
  </w:abstractNum>
  <w:abstractNum w:abstractNumId="1" w15:restartNumberingAfterBreak="0">
    <w:nsid w:val="50BC7196"/>
    <w:multiLevelType w:val="multilevel"/>
    <w:tmpl w:val="BCC69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1053"/>
    <w:rsid w:val="000005DF"/>
    <w:rsid w:val="00016F06"/>
    <w:rsid w:val="00034A6E"/>
    <w:rsid w:val="00042534"/>
    <w:rsid w:val="00056D8A"/>
    <w:rsid w:val="00057049"/>
    <w:rsid w:val="00066F31"/>
    <w:rsid w:val="00067697"/>
    <w:rsid w:val="000839B2"/>
    <w:rsid w:val="000A65C1"/>
    <w:rsid w:val="000C54B2"/>
    <w:rsid w:val="000F4287"/>
    <w:rsid w:val="00106742"/>
    <w:rsid w:val="00110C10"/>
    <w:rsid w:val="00120557"/>
    <w:rsid w:val="00120A47"/>
    <w:rsid w:val="001440D3"/>
    <w:rsid w:val="00173CB3"/>
    <w:rsid w:val="00175601"/>
    <w:rsid w:val="00191FD2"/>
    <w:rsid w:val="001963E8"/>
    <w:rsid w:val="001B5F64"/>
    <w:rsid w:val="001E1B3D"/>
    <w:rsid w:val="001F348B"/>
    <w:rsid w:val="001F38A4"/>
    <w:rsid w:val="002152A8"/>
    <w:rsid w:val="00220371"/>
    <w:rsid w:val="00225F5D"/>
    <w:rsid w:val="00240033"/>
    <w:rsid w:val="00253412"/>
    <w:rsid w:val="0025531E"/>
    <w:rsid w:val="0028015B"/>
    <w:rsid w:val="00286E39"/>
    <w:rsid w:val="00290898"/>
    <w:rsid w:val="002A207C"/>
    <w:rsid w:val="002D3744"/>
    <w:rsid w:val="002D4A29"/>
    <w:rsid w:val="002E1273"/>
    <w:rsid w:val="002E36A5"/>
    <w:rsid w:val="002E4053"/>
    <w:rsid w:val="002E4289"/>
    <w:rsid w:val="002E42C2"/>
    <w:rsid w:val="002F1053"/>
    <w:rsid w:val="002F413C"/>
    <w:rsid w:val="002F5242"/>
    <w:rsid w:val="003136EA"/>
    <w:rsid w:val="00327A2A"/>
    <w:rsid w:val="00357D64"/>
    <w:rsid w:val="00371122"/>
    <w:rsid w:val="003F5906"/>
    <w:rsid w:val="003F6400"/>
    <w:rsid w:val="00402CEC"/>
    <w:rsid w:val="00417345"/>
    <w:rsid w:val="0042394C"/>
    <w:rsid w:val="00436339"/>
    <w:rsid w:val="004571D1"/>
    <w:rsid w:val="0046776C"/>
    <w:rsid w:val="00476FDF"/>
    <w:rsid w:val="00491F9D"/>
    <w:rsid w:val="004A05C7"/>
    <w:rsid w:val="004A6FF2"/>
    <w:rsid w:val="004B6945"/>
    <w:rsid w:val="004D48ED"/>
    <w:rsid w:val="004F0F63"/>
    <w:rsid w:val="004F7225"/>
    <w:rsid w:val="00507A77"/>
    <w:rsid w:val="005150D6"/>
    <w:rsid w:val="00531AC2"/>
    <w:rsid w:val="00550DF2"/>
    <w:rsid w:val="0055422B"/>
    <w:rsid w:val="00593418"/>
    <w:rsid w:val="005B1D62"/>
    <w:rsid w:val="00602150"/>
    <w:rsid w:val="0060426C"/>
    <w:rsid w:val="006156AA"/>
    <w:rsid w:val="006179D1"/>
    <w:rsid w:val="00622D59"/>
    <w:rsid w:val="00632CBC"/>
    <w:rsid w:val="00634BB2"/>
    <w:rsid w:val="0063691E"/>
    <w:rsid w:val="00637201"/>
    <w:rsid w:val="00646FE7"/>
    <w:rsid w:val="00654AFE"/>
    <w:rsid w:val="006A1CF0"/>
    <w:rsid w:val="006B1B2A"/>
    <w:rsid w:val="006C7DCB"/>
    <w:rsid w:val="006D2A69"/>
    <w:rsid w:val="006D67B8"/>
    <w:rsid w:val="006D74F8"/>
    <w:rsid w:val="006E46C1"/>
    <w:rsid w:val="006E5301"/>
    <w:rsid w:val="006F5A71"/>
    <w:rsid w:val="00700510"/>
    <w:rsid w:val="00707050"/>
    <w:rsid w:val="007100CA"/>
    <w:rsid w:val="00715CE5"/>
    <w:rsid w:val="00722F06"/>
    <w:rsid w:val="00724653"/>
    <w:rsid w:val="00726314"/>
    <w:rsid w:val="007409C1"/>
    <w:rsid w:val="00744CC2"/>
    <w:rsid w:val="007654AA"/>
    <w:rsid w:val="00767D0E"/>
    <w:rsid w:val="00782A8D"/>
    <w:rsid w:val="007A658F"/>
    <w:rsid w:val="007A761D"/>
    <w:rsid w:val="007B0129"/>
    <w:rsid w:val="007B2ADD"/>
    <w:rsid w:val="007B7215"/>
    <w:rsid w:val="007C1F7E"/>
    <w:rsid w:val="007C7738"/>
    <w:rsid w:val="007D0FC5"/>
    <w:rsid w:val="007E20A8"/>
    <w:rsid w:val="007F2D04"/>
    <w:rsid w:val="007F31A3"/>
    <w:rsid w:val="00800E94"/>
    <w:rsid w:val="008178AA"/>
    <w:rsid w:val="008373D2"/>
    <w:rsid w:val="008414D8"/>
    <w:rsid w:val="00847428"/>
    <w:rsid w:val="00871408"/>
    <w:rsid w:val="00871B93"/>
    <w:rsid w:val="00875BED"/>
    <w:rsid w:val="008A203D"/>
    <w:rsid w:val="008B3302"/>
    <w:rsid w:val="008B75A0"/>
    <w:rsid w:val="008C066A"/>
    <w:rsid w:val="008C0C7E"/>
    <w:rsid w:val="008C458F"/>
    <w:rsid w:val="008C58EE"/>
    <w:rsid w:val="008E1C17"/>
    <w:rsid w:val="008F201B"/>
    <w:rsid w:val="009276E8"/>
    <w:rsid w:val="009462D9"/>
    <w:rsid w:val="0095513C"/>
    <w:rsid w:val="00957FED"/>
    <w:rsid w:val="00966BF3"/>
    <w:rsid w:val="00977354"/>
    <w:rsid w:val="00982C6F"/>
    <w:rsid w:val="00982FAE"/>
    <w:rsid w:val="009915C3"/>
    <w:rsid w:val="009A0467"/>
    <w:rsid w:val="009A0C89"/>
    <w:rsid w:val="009A4B64"/>
    <w:rsid w:val="009C5EB3"/>
    <w:rsid w:val="009E6820"/>
    <w:rsid w:val="009E7DD6"/>
    <w:rsid w:val="009F1758"/>
    <w:rsid w:val="009F71AE"/>
    <w:rsid w:val="009F7E69"/>
    <w:rsid w:val="00A26A40"/>
    <w:rsid w:val="00A619E1"/>
    <w:rsid w:val="00A804BF"/>
    <w:rsid w:val="00AB5AC2"/>
    <w:rsid w:val="00AC13CD"/>
    <w:rsid w:val="00AC5612"/>
    <w:rsid w:val="00AC5676"/>
    <w:rsid w:val="00AE0D87"/>
    <w:rsid w:val="00AE31BF"/>
    <w:rsid w:val="00AE7F9B"/>
    <w:rsid w:val="00AF4870"/>
    <w:rsid w:val="00AF5ED8"/>
    <w:rsid w:val="00AF6919"/>
    <w:rsid w:val="00B35DF5"/>
    <w:rsid w:val="00B464DB"/>
    <w:rsid w:val="00B62CAA"/>
    <w:rsid w:val="00B84F24"/>
    <w:rsid w:val="00B93994"/>
    <w:rsid w:val="00BD58B3"/>
    <w:rsid w:val="00BE64A5"/>
    <w:rsid w:val="00BE79D4"/>
    <w:rsid w:val="00C20C06"/>
    <w:rsid w:val="00C40877"/>
    <w:rsid w:val="00C43BD0"/>
    <w:rsid w:val="00C44FF9"/>
    <w:rsid w:val="00C56F06"/>
    <w:rsid w:val="00C82084"/>
    <w:rsid w:val="00C845A4"/>
    <w:rsid w:val="00CC5E58"/>
    <w:rsid w:val="00CD4CDE"/>
    <w:rsid w:val="00CF2B44"/>
    <w:rsid w:val="00CF456D"/>
    <w:rsid w:val="00D00A8A"/>
    <w:rsid w:val="00D07476"/>
    <w:rsid w:val="00D406D0"/>
    <w:rsid w:val="00D44EA4"/>
    <w:rsid w:val="00D52EE2"/>
    <w:rsid w:val="00D76A4E"/>
    <w:rsid w:val="00D823B2"/>
    <w:rsid w:val="00D97B88"/>
    <w:rsid w:val="00DE06A5"/>
    <w:rsid w:val="00DF1008"/>
    <w:rsid w:val="00DF48A9"/>
    <w:rsid w:val="00DF68A3"/>
    <w:rsid w:val="00E36D69"/>
    <w:rsid w:val="00E511B6"/>
    <w:rsid w:val="00E511B8"/>
    <w:rsid w:val="00E57C1D"/>
    <w:rsid w:val="00E63EC4"/>
    <w:rsid w:val="00E71757"/>
    <w:rsid w:val="00E71EA3"/>
    <w:rsid w:val="00E72EB6"/>
    <w:rsid w:val="00E837BE"/>
    <w:rsid w:val="00E86805"/>
    <w:rsid w:val="00E901C6"/>
    <w:rsid w:val="00E92D88"/>
    <w:rsid w:val="00EA7376"/>
    <w:rsid w:val="00ED6E98"/>
    <w:rsid w:val="00EF1D17"/>
    <w:rsid w:val="00F05CD5"/>
    <w:rsid w:val="00F23011"/>
    <w:rsid w:val="00F24D31"/>
    <w:rsid w:val="00F72E97"/>
    <w:rsid w:val="00F84D9B"/>
    <w:rsid w:val="00FA03B5"/>
    <w:rsid w:val="00FA7EA1"/>
    <w:rsid w:val="00FC48F3"/>
    <w:rsid w:val="00FD0EA5"/>
    <w:rsid w:val="00FD3D14"/>
    <w:rsid w:val="00FD76BD"/>
    <w:rsid w:val="0EA90252"/>
    <w:rsid w:val="1725063C"/>
    <w:rsid w:val="17B8037E"/>
    <w:rsid w:val="1B5A7B35"/>
    <w:rsid w:val="1BC0133A"/>
    <w:rsid w:val="1DA876B7"/>
    <w:rsid w:val="1FE62F7A"/>
    <w:rsid w:val="29016D9A"/>
    <w:rsid w:val="2D1F2C06"/>
    <w:rsid w:val="333379A2"/>
    <w:rsid w:val="449934E2"/>
    <w:rsid w:val="44FE571E"/>
    <w:rsid w:val="45DC531B"/>
    <w:rsid w:val="4B7272C7"/>
    <w:rsid w:val="4BB91FC8"/>
    <w:rsid w:val="4C532F45"/>
    <w:rsid w:val="505D0938"/>
    <w:rsid w:val="52D62AD5"/>
    <w:rsid w:val="5B167A00"/>
    <w:rsid w:val="5B7A5FA3"/>
    <w:rsid w:val="625E31D0"/>
    <w:rsid w:val="64282B6A"/>
    <w:rsid w:val="671177B3"/>
    <w:rsid w:val="6A3C4DE4"/>
    <w:rsid w:val="6A4D6494"/>
    <w:rsid w:val="6A9A7556"/>
    <w:rsid w:val="72B33BC7"/>
    <w:rsid w:val="79E2023B"/>
    <w:rsid w:val="7F98358D"/>
    <w:rsid w:val="7FB4387C"/>
    <w:rsid w:val="7FDA0079"/>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DDF6F"/>
  <w15:docId w15:val="{3BF573E1-09E3-4EFE-BFC7-F8997913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0"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Ttulo2">
    <w:name w:val="heading 2"/>
    <w:basedOn w:val="Normal"/>
    <w:next w:val="Normal"/>
    <w:link w:val="Ttulo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qFormat/>
    <w:pPr>
      <w:spacing w:after="0" w:line="240" w:lineRule="auto"/>
    </w:pPr>
    <w:rPr>
      <w:rFonts w:ascii="Tahoma" w:hAnsi="Tahoma" w:cs="Tahoma"/>
      <w:sz w:val="16"/>
      <w:szCs w:val="16"/>
    </w:rPr>
  </w:style>
  <w:style w:type="paragraph" w:styleId="Corpodetexto">
    <w:name w:val="Body Text"/>
    <w:basedOn w:val="Normal"/>
    <w:link w:val="CorpodetextoChar"/>
    <w:qFormat/>
    <w:pPr>
      <w:spacing w:after="120"/>
    </w:pPr>
    <w:rPr>
      <w:rFonts w:ascii="Times New Roman" w:eastAsia="Times New Roman" w:hAnsi="Times New Roman" w:cs="Times New Roman"/>
      <w:sz w:val="24"/>
      <w:szCs w:val="24"/>
      <w:lang w:eastAsia="pt-BR"/>
    </w:rPr>
  </w:style>
  <w:style w:type="character" w:styleId="nfase">
    <w:name w:val="Emphasis"/>
    <w:basedOn w:val="Fontepargpadro"/>
    <w:uiPriority w:val="20"/>
    <w:qFormat/>
    <w:rPr>
      <w:i/>
      <w:iCs/>
    </w:rPr>
  </w:style>
  <w:style w:type="paragraph" w:styleId="Rodap">
    <w:name w:val="footer"/>
    <w:basedOn w:val="Normal"/>
    <w:link w:val="RodapChar"/>
    <w:uiPriority w:val="99"/>
    <w:unhideWhenUsed/>
    <w:qFormat/>
    <w:pPr>
      <w:tabs>
        <w:tab w:val="center" w:pos="4252"/>
        <w:tab w:val="right" w:pos="8504"/>
      </w:tabs>
      <w:spacing w:after="0" w:line="240" w:lineRule="auto"/>
    </w:pPr>
  </w:style>
  <w:style w:type="paragraph" w:styleId="Cabealho">
    <w:name w:val="header"/>
    <w:basedOn w:val="Normal"/>
    <w:link w:val="CabealhoChar"/>
    <w:uiPriority w:val="99"/>
    <w:unhideWhenUsed/>
    <w:qFormat/>
    <w:pPr>
      <w:tabs>
        <w:tab w:val="center" w:pos="4252"/>
        <w:tab w:val="right" w:pos="8504"/>
      </w:tabs>
      <w:spacing w:after="0" w:line="240" w:lineRule="auto"/>
    </w:p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Pr>
      <w:b/>
      <w:bCs/>
    </w:rPr>
  </w:style>
  <w:style w:type="table" w:styleId="Tabelacomgrade">
    <w:name w:val="Table Grid"/>
    <w:basedOn w:val="Tabelanormal"/>
    <w:qFormat/>
    <w:pPr>
      <w:spacing w:after="160" w:line="259"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fundocinzamaiusculasnegrito">
    <w:name w:val="texto_fundo_cinza_maiusculas_negrito"/>
    <w:basedOn w:val="Normal"/>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alinhadoesquerda">
    <w:name w:val="texto_alinhado_esquerda"/>
    <w:basedOn w:val="Normal"/>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alinhadoesquerdaespacamentosimples">
    <w:name w:val="texto_alinhado_esquerda_espacamento_simples"/>
    <w:basedOn w:val="Normal"/>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justificadorecuoprimeiralinha">
    <w:name w:val="texto_justificado_recuo_primeira_linha"/>
    <w:basedOn w:val="Normal"/>
    <w:qFormat/>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fundocinzanegrito">
    <w:name w:val="texto_fundo_cinza_negrito"/>
    <w:basedOn w:val="Normal"/>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infraarvorenoselecionado">
    <w:name w:val="infraarvorenoselecionado"/>
    <w:basedOn w:val="Fontepargpadro"/>
    <w:qFormat/>
  </w:style>
  <w:style w:type="character" w:customStyle="1" w:styleId="TextodebaloChar">
    <w:name w:val="Texto de balão Char"/>
    <w:basedOn w:val="Fontepargpadro"/>
    <w:link w:val="Textodebalo"/>
    <w:uiPriority w:val="99"/>
    <w:semiHidden/>
    <w:rPr>
      <w:rFonts w:ascii="Tahoma" w:hAnsi="Tahoma" w:cs="Tahoma"/>
      <w:sz w:val="16"/>
      <w:szCs w:val="16"/>
    </w:rPr>
  </w:style>
  <w:style w:type="paragraph" w:customStyle="1" w:styleId="Default">
    <w:name w:val="Default"/>
    <w:qFormat/>
    <w:pPr>
      <w:autoSpaceDE w:val="0"/>
      <w:autoSpaceDN w:val="0"/>
      <w:adjustRightInd w:val="0"/>
    </w:pPr>
    <w:rPr>
      <w:rFonts w:ascii="Calibri" w:hAnsi="Calibri" w:cs="Calibri"/>
      <w:color w:val="000000"/>
      <w:sz w:val="24"/>
      <w:szCs w:val="24"/>
      <w:lang w:eastAsia="en-US"/>
    </w:rPr>
  </w:style>
  <w:style w:type="paragraph" w:styleId="PargrafodaLista">
    <w:name w:val="List Paragraph"/>
    <w:basedOn w:val="Normal"/>
    <w:uiPriority w:val="34"/>
    <w:qFormat/>
    <w:pPr>
      <w:spacing w:after="160" w:line="259" w:lineRule="auto"/>
      <w:ind w:left="720" w:firstLine="1134"/>
      <w:contextualSpacing/>
      <w:jc w:val="both"/>
    </w:pPr>
    <w:rPr>
      <w:rFonts w:ascii="Arial" w:eastAsia="Calibri" w:hAnsi="Arial" w:cs="Arial"/>
      <w:sz w:val="24"/>
      <w:szCs w:val="20"/>
      <w:lang w:eastAsia="pt-BR"/>
    </w:rPr>
  </w:style>
  <w:style w:type="character" w:customStyle="1" w:styleId="CorpodetextoChar">
    <w:name w:val="Corpo de texto Char"/>
    <w:basedOn w:val="Fontepargpadro"/>
    <w:link w:val="Corpodetexto"/>
    <w:qFormat/>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qFormat/>
    <w:rPr>
      <w:rFonts w:ascii="Times New Roman" w:eastAsia="Times New Roman" w:hAnsi="Times New Roman" w:cs="Times New Roman"/>
      <w:b/>
      <w:bCs/>
      <w:sz w:val="36"/>
      <w:szCs w:val="36"/>
    </w:rPr>
  </w:style>
  <w:style w:type="character" w:customStyle="1" w:styleId="CabealhoChar">
    <w:name w:val="Cabeçalho Char"/>
    <w:basedOn w:val="Fontepargpadro"/>
    <w:link w:val="Cabealho"/>
    <w:uiPriority w:val="99"/>
    <w:qFormat/>
    <w:rPr>
      <w:sz w:val="22"/>
      <w:szCs w:val="22"/>
      <w:lang w:eastAsia="en-US"/>
    </w:rPr>
  </w:style>
  <w:style w:type="character" w:customStyle="1" w:styleId="RodapChar">
    <w:name w:val="Rodapé Char"/>
    <w:basedOn w:val="Fontepargpadro"/>
    <w:link w:val="Rodap"/>
    <w:uiPriority w:val="99"/>
    <w:qFormat/>
    <w:rPr>
      <w:sz w:val="22"/>
      <w:szCs w:val="22"/>
      <w:lang w:eastAsia="en-US"/>
    </w:rPr>
  </w:style>
  <w:style w:type="paragraph" w:customStyle="1" w:styleId="textojustificado">
    <w:name w:val="texto_justificado"/>
    <w:basedOn w:val="Normal"/>
    <w:rsid w:val="006D74F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6D74F8"/>
    <w:rPr>
      <w:color w:val="0000FF"/>
      <w:u w:val="single"/>
    </w:rPr>
  </w:style>
  <w:style w:type="paragraph" w:customStyle="1" w:styleId="citacao">
    <w:name w:val="citacao"/>
    <w:basedOn w:val="Normal"/>
    <w:rsid w:val="006D74F8"/>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110306">
      <w:bodyDiv w:val="1"/>
      <w:marLeft w:val="0"/>
      <w:marRight w:val="0"/>
      <w:marTop w:val="0"/>
      <w:marBottom w:val="0"/>
      <w:divBdr>
        <w:top w:val="none" w:sz="0" w:space="0" w:color="auto"/>
        <w:left w:val="none" w:sz="0" w:space="0" w:color="auto"/>
        <w:bottom w:val="none" w:sz="0" w:space="0" w:color="auto"/>
        <w:right w:val="none" w:sz="0" w:space="0" w:color="auto"/>
      </w:divBdr>
    </w:div>
    <w:div w:id="11092745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sei.mg.gov.br/sei/controlador.php?acao=protocolo_visualizar&amp;id_protocolo=41261068&amp;id_procedimento_atual=20831795&amp;infra_sistema=100000100&amp;infra_unidade_atual=110004484&amp;infra_hash=758e9dadf4396a3946fdc5410d16414666a1fc75ac33a9ad2d3eb7362053121c" TargetMode="External"/><Relationship Id="rId26" Type="http://schemas.openxmlformats.org/officeDocument/2006/relationships/hyperlink" Target="https://www.sei.mg.gov.br/sei/controlador.php?acao=protocolo_visualizar&amp;id_protocolo=33625682&amp;id_procedimento_atual=20831795&amp;infra_sistema=100000100&amp;infra_unidade_atual=110004484&amp;infra_hash=67243544ccd4c0f8764178dcaf9bd5b7a792116313de930e07d59a07a647cc61" TargetMode="External"/><Relationship Id="rId3" Type="http://schemas.openxmlformats.org/officeDocument/2006/relationships/styles" Target="styles.xml"/><Relationship Id="rId21" Type="http://schemas.openxmlformats.org/officeDocument/2006/relationships/hyperlink" Target="https://www.sei.mg.gov.br/sei/controlador.php?acao=protocolo_visualizar&amp;id_protocolo=20831802&amp;id_procedimento_atual=20831795&amp;infra_sistema=100000100&amp;infra_unidade_atual=110004484&amp;infra_hash=ca3c9630ea85387635f131cb94ea92a707d5b097a2cdb3bf300c1e69e3c1f7b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ei.mg.gov.br/sei/controlador.php?acao=protocolo_visualizar&amp;id_protocolo=27760387&amp;id_procedimento_atual=20831795&amp;infra_sistema=100000100&amp;infra_unidade_atual=110004484&amp;infra_hash=7e63d792bf8013bf8122e470e07d8fd6ef250349f30d3fa8d7f56d29e3bb52ee" TargetMode="External"/><Relationship Id="rId25" Type="http://schemas.openxmlformats.org/officeDocument/2006/relationships/hyperlink" Target="https://www.sei.mg.gov.br/sei/controlador.php?acao=protocolo_visualizar&amp;id_protocolo=49442234&amp;id_procedimento_atual=20831795&amp;infra_sistema=100000100&amp;infra_unidade_atual=110004484&amp;infra_hash=ce804d2c0c887ac71d616f92e625d04e1ff42867cbee4c35fbf2784b59e0a2fa" TargetMode="External"/><Relationship Id="rId2" Type="http://schemas.openxmlformats.org/officeDocument/2006/relationships/numbering" Target="numbering.xml"/><Relationship Id="rId16" Type="http://schemas.openxmlformats.org/officeDocument/2006/relationships/hyperlink" Target="https://www.sei.mg.gov.br/sei/controlador.php?acao=protocolo_visualizar&amp;id_protocolo=41261070&amp;id_procedimento_atual=20831795&amp;infra_sistema=100000100&amp;infra_unidade_atual=110004484&amp;infra_hash=621ebcd533df59fa6741e9c0290a937d6e35859dc2382a07703be0381413b379" TargetMode="External"/><Relationship Id="rId20" Type="http://schemas.openxmlformats.org/officeDocument/2006/relationships/hyperlink" Target="https://www.sei.mg.gov.br/sei/controlador.php?acao=protocolo_visualizar&amp;id_protocolo=43438443&amp;id_procedimento_atual=20831795&amp;infra_sistema=100000100&amp;infra_unidade_atual=110004484&amp;infra_hash=a5ca413d6740ec6e37ee39f1549140bb15d2ce610030665449801f6333af354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ei.mg.gov.br/sei/controlador.php?acao=protocolo_visualizar&amp;id_protocolo=49442065&amp;id_procedimento_atual=20831795&amp;infra_sistema=100000100&amp;infra_unidade_atual=110004484&amp;infra_hash=4897ac60ceba56163d80f4b7b4c0e216f05de27b16e29bb2158979946eb857c4" TargetMode="External"/><Relationship Id="rId5" Type="http://schemas.openxmlformats.org/officeDocument/2006/relationships/webSettings" Target="webSettings.xml"/><Relationship Id="rId15" Type="http://schemas.openxmlformats.org/officeDocument/2006/relationships/hyperlink" Target="https://www.sei.mg.gov.br/sei/controlador.php?acao=protocolo_visualizar&amp;id_protocolo=20831799&amp;id_procedimento_atual=20831795&amp;infra_sistema=100000100&amp;infra_unidade_atual=110004484&amp;infra_hash=f4c73517cd0baa5c52a9205432827e595d18a5ca650b94afa0b437d0aae7ae5f" TargetMode="External"/><Relationship Id="rId23" Type="http://schemas.openxmlformats.org/officeDocument/2006/relationships/hyperlink" Target="https://www.sei.mg.gov.br/sei/controlador.php?acao=protocolo_visualizar&amp;id_protocolo=33625682&amp;id_procedimento_atual=20831795&amp;infra_sistema=100000100&amp;infra_unidade_atual=110004484&amp;infra_hash=67243544ccd4c0f8764178dcaf9bd5b7a792116313de930e07d59a07a647cc61"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sei.mg.gov.br/sei/controlador.php?acao=protocolo_visualizar&amp;id_protocolo=33625682&amp;id_procedimento_atual=20831795&amp;infra_sistema=100000100&amp;infra_unidade_atual=110004484&amp;infra_hash=67243544ccd4c0f8764178dcaf9bd5b7a792116313de930e07d59a07a647cc6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sei.mg.gov.br/sei/controlador.php?acao=protocolo_visualizar&amp;id_protocolo=49446251&amp;id_procedimento_atual=20831795&amp;infra_sistema=100000100&amp;infra_unidade_atual=110004484&amp;infra_hash=afdd8aaf7cf24d59d459e3efcd510c13473c75a9e2fbb8f43de017becb1b815a" TargetMode="External"/><Relationship Id="rId27" Type="http://schemas.openxmlformats.org/officeDocument/2006/relationships/hyperlink" Target="https://www.sei.mg.gov.br/sei/controlador.php?acao=protocolo_visualizar&amp;id_protocolo=49442065&amp;id_procedimento_atual=20831795&amp;infra_sistema=100000100&amp;infra_unidade_atual=110004484&amp;infra_hash=4897ac60ceba56163d80f4b7b4c0e216f05de27b16e29bb2158979946eb857c4" TargetMode="Externa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4658</Words>
  <Characters>25155</Characters>
  <Application>Microsoft Office Word</Application>
  <DocSecurity>0</DocSecurity>
  <Lines>209</Lines>
  <Paragraphs>59</Paragraphs>
  <ScaleCrop>false</ScaleCrop>
  <Company/>
  <LinksUpToDate>false</LinksUpToDate>
  <CharactersWithSpaces>29754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Amilton Ferri</dc:creator>
  <cp:lastModifiedBy>Renata Lacerda Denucci</cp:lastModifiedBy>
  <cp:revision>2</cp:revision>
  <dcterms:created xsi:type="dcterms:W3CDTF">2022-03-03T18:23:00Z</dcterms:created>
  <dcterms:modified xsi:type="dcterms:W3CDTF">2022-03-03T18:23:00Z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BB2D3E09B721462AB598175C00A036C4</vt:lpwstr>
  </property>
</Properties>
</file>