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D9423" w14:textId="77777777" w:rsidR="006917C0" w:rsidRDefault="006C5ED1">
      <w:pPr>
        <w:spacing w:before="100" w:beforeAutospacing="1" w:after="100" w:afterAutospacing="1"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Parecer Único IEF/GCARF/URFBio SUL - COMP MINERÁRIA/2022</w:t>
      </w:r>
    </w:p>
    <w:p w14:paraId="7428BB48" w14:textId="77777777" w:rsidR="006917C0" w:rsidRDefault="006C5ED1">
      <w:pPr>
        <w:shd w:val="clear" w:color="auto" w:fill="E6E6E6"/>
        <w:spacing w:before="120" w:after="120" w:line="240" w:lineRule="auto"/>
        <w:ind w:left="120" w:right="120"/>
        <w:jc w:val="both"/>
        <w:rPr>
          <w:rFonts w:eastAsia="Times New Roman" w:cstheme="minorHAnsi"/>
          <w:b/>
          <w:bCs/>
          <w:color w:val="000000"/>
          <w:sz w:val="26"/>
          <w:szCs w:val="26"/>
          <w:lang w:eastAsia="pt-BR"/>
        </w:rPr>
      </w:pPr>
      <w:r>
        <w:rPr>
          <w:rFonts w:eastAsia="Times New Roman" w:cstheme="minorHAnsi"/>
          <w:b/>
          <w:bCs/>
          <w:caps/>
          <w:color w:val="000000"/>
          <w:sz w:val="26"/>
          <w:szCs w:val="26"/>
          <w:lang w:eastAsia="pt-BR"/>
        </w:rPr>
        <w:t xml:space="preserve">PROCESSO SEI </w:t>
      </w:r>
      <w:r>
        <w:rPr>
          <w:rFonts w:ascii="Calibri" w:eastAsia="SimSun" w:hAnsi="Calibri" w:cs="Calibri"/>
          <w:b/>
          <w:sz w:val="26"/>
          <w:szCs w:val="26"/>
        </w:rPr>
        <w:t xml:space="preserve"> </w:t>
      </w:r>
      <w:r>
        <w:rPr>
          <w:rFonts w:eastAsia="Times New Roman" w:cstheme="minorHAnsi"/>
          <w:b/>
          <w:bCs/>
          <w:caps/>
          <w:color w:val="000000"/>
          <w:sz w:val="26"/>
          <w:szCs w:val="26"/>
          <w:lang w:eastAsia="pt-BR"/>
        </w:rPr>
        <w:t>nº</w:t>
      </w:r>
      <w:r>
        <w:rPr>
          <w:rFonts w:ascii="Calibri" w:eastAsia="SimSun" w:hAnsi="Calibri" w:cs="Calibri"/>
          <w:b/>
          <w:sz w:val="26"/>
          <w:szCs w:val="26"/>
        </w:rPr>
        <w:t xml:space="preserve">  2100.01.0078875/2021-22</w:t>
      </w:r>
    </w:p>
    <w:p w14:paraId="59A5BEAD" w14:textId="77777777" w:rsidR="006917C0" w:rsidRDefault="006C5ED1">
      <w:pPr>
        <w:spacing w:before="120" w:after="120" w:line="240" w:lineRule="auto"/>
        <w:ind w:left="120" w:right="120"/>
        <w:rPr>
          <w:rFonts w:eastAsia="Times New Roman" w:cstheme="minorHAnsi"/>
          <w:color w:val="000000"/>
          <w:sz w:val="26"/>
          <w:szCs w:val="26"/>
          <w:lang w:eastAsia="pt-BR"/>
        </w:rPr>
      </w:pPr>
      <w:r>
        <w:rPr>
          <w:rFonts w:eastAsia="Times New Roman" w:cstheme="minorHAnsi"/>
          <w:b/>
          <w:bCs/>
          <w:color w:val="000000"/>
          <w:sz w:val="26"/>
          <w:szCs w:val="26"/>
          <w:lang w:eastAsia="pt-BR"/>
        </w:rPr>
        <w:t>PROPOSTA DE COMPENSAÇÃO FLORESTAL MINERÁRIA</w:t>
      </w:r>
    </w:p>
    <w:p w14:paraId="4690E710" w14:textId="77777777" w:rsidR="006917C0" w:rsidRDefault="006C5ED1">
      <w:pPr>
        <w:spacing w:before="120" w:after="120" w:line="240" w:lineRule="auto"/>
        <w:ind w:left="120" w:right="120"/>
        <w:rPr>
          <w:rFonts w:eastAsia="Times New Roman" w:cstheme="minorHAnsi"/>
          <w:color w:val="000000"/>
          <w:sz w:val="26"/>
          <w:szCs w:val="26"/>
          <w:lang w:eastAsia="pt-BR"/>
        </w:rPr>
      </w:pPr>
      <w:r>
        <w:rPr>
          <w:rFonts w:eastAsia="Times New Roman" w:cstheme="minorHAnsi"/>
          <w:color w:val="000000"/>
          <w:sz w:val="26"/>
          <w:szCs w:val="26"/>
          <w:lang w:eastAsia="pt-BR"/>
        </w:rPr>
        <w:t> </w:t>
      </w:r>
    </w:p>
    <w:p w14:paraId="3FFD2016" w14:textId="77777777" w:rsidR="006917C0" w:rsidRDefault="006C5ED1">
      <w:pPr>
        <w:shd w:val="clear" w:color="auto" w:fill="E6E6E6"/>
        <w:spacing w:before="120" w:after="120" w:line="240" w:lineRule="auto"/>
        <w:ind w:left="120" w:right="120"/>
        <w:jc w:val="both"/>
        <w:rPr>
          <w:rFonts w:eastAsia="Times New Roman" w:cstheme="minorHAnsi"/>
          <w:b/>
          <w:bCs/>
          <w:caps/>
          <w:color w:val="000000"/>
          <w:sz w:val="26"/>
          <w:szCs w:val="26"/>
          <w:lang w:eastAsia="pt-BR"/>
        </w:rPr>
      </w:pPr>
      <w:r>
        <w:rPr>
          <w:rFonts w:eastAsia="Times New Roman" w:cstheme="minorHAnsi"/>
          <w:b/>
          <w:bCs/>
          <w:caps/>
          <w:color w:val="000000"/>
          <w:sz w:val="26"/>
          <w:szCs w:val="26"/>
          <w:lang w:eastAsia="pt-BR"/>
        </w:rPr>
        <w:t>1 - DADOS DO EMPREENDIMENTO E ANÁLISE</w:t>
      </w:r>
    </w:p>
    <w:tbl>
      <w:tblPr>
        <w:tblW w:w="8178" w:type="dxa"/>
        <w:jc w:val="center"/>
        <w:tblCellSpacing w:w="4" w:type="dxa"/>
        <w:tblBorders>
          <w:top w:val="outset" w:sz="6" w:space="0" w:color="auto"/>
          <w:left w:val="outset" w:sz="6" w:space="0" w:color="auto"/>
          <w:bottom w:val="outset" w:sz="6" w:space="0" w:color="auto"/>
          <w:right w:val="outset" w:sz="6" w:space="0" w:color="auto"/>
        </w:tblBorders>
        <w:tblCellMar>
          <w:top w:w="9" w:type="dxa"/>
          <w:left w:w="9" w:type="dxa"/>
          <w:bottom w:w="9" w:type="dxa"/>
          <w:right w:w="9" w:type="dxa"/>
        </w:tblCellMar>
        <w:tblLook w:val="04A0" w:firstRow="1" w:lastRow="0" w:firstColumn="1" w:lastColumn="0" w:noHBand="0" w:noVBand="1"/>
      </w:tblPr>
      <w:tblGrid>
        <w:gridCol w:w="4228"/>
        <w:gridCol w:w="3950"/>
      </w:tblGrid>
      <w:tr w:rsidR="006917C0" w14:paraId="63F6B302"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6CC4CC93"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Tipo de processo</w:t>
            </w:r>
          </w:p>
        </w:tc>
        <w:tc>
          <w:tcPr>
            <w:tcW w:w="3938" w:type="dxa"/>
            <w:tcBorders>
              <w:top w:val="outset" w:sz="6" w:space="0" w:color="auto"/>
              <w:left w:val="outset" w:sz="6" w:space="0" w:color="auto"/>
              <w:bottom w:val="outset" w:sz="6" w:space="0" w:color="auto"/>
              <w:right w:val="outset" w:sz="6" w:space="0" w:color="auto"/>
            </w:tcBorders>
            <w:vAlign w:val="center"/>
          </w:tcPr>
          <w:p w14:paraId="54E90269"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 X ) Licenciamento Ambiental</w:t>
            </w:r>
          </w:p>
          <w:p w14:paraId="0A0E5C47"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   ) Autorização para Intervenção Ambiental</w:t>
            </w:r>
          </w:p>
        </w:tc>
      </w:tr>
      <w:tr w:rsidR="006917C0" w14:paraId="6A23EDF5"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0A3E3BCE"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Números do processo/instrumento</w:t>
            </w:r>
          </w:p>
        </w:tc>
        <w:tc>
          <w:tcPr>
            <w:tcW w:w="3938" w:type="dxa"/>
            <w:tcBorders>
              <w:top w:val="outset" w:sz="6" w:space="0" w:color="auto"/>
              <w:left w:val="outset" w:sz="6" w:space="0" w:color="auto"/>
              <w:bottom w:val="outset" w:sz="6" w:space="0" w:color="auto"/>
              <w:right w:val="outset" w:sz="6" w:space="0" w:color="auto"/>
            </w:tcBorders>
            <w:vAlign w:val="center"/>
          </w:tcPr>
          <w:p w14:paraId="10890CC7" w14:textId="77777777" w:rsidR="006917C0" w:rsidRDefault="006C5ED1">
            <w:pPr>
              <w:pStyle w:val="Default"/>
            </w:pPr>
            <w:r>
              <w:rPr>
                <w:rFonts w:asciiTheme="minorHAnsi" w:eastAsia="Times New Roman" w:hAnsiTheme="minorHAnsi" w:cstheme="minorHAnsi"/>
                <w:sz w:val="26"/>
                <w:szCs w:val="26"/>
                <w:lang w:eastAsia="pt-BR"/>
              </w:rPr>
              <w:t xml:space="preserve">PA COPAM nº </w:t>
            </w:r>
          </w:p>
          <w:p w14:paraId="74BBF7F2" w14:textId="77777777" w:rsidR="006917C0" w:rsidRDefault="006C5ED1">
            <w:pPr>
              <w:pStyle w:val="Default"/>
              <w:rPr>
                <w:rFonts w:asciiTheme="minorHAnsi" w:eastAsia="Times New Roman" w:hAnsiTheme="minorHAnsi" w:cstheme="minorHAnsi"/>
                <w:sz w:val="26"/>
                <w:szCs w:val="26"/>
                <w:lang w:eastAsia="pt-BR"/>
              </w:rPr>
            </w:pPr>
            <w:r>
              <w:rPr>
                <w:rFonts w:asciiTheme="minorHAnsi" w:eastAsia="Times New Roman" w:hAnsiTheme="minorHAnsi" w:cstheme="minorHAnsi"/>
                <w:sz w:val="26"/>
                <w:szCs w:val="26"/>
                <w:lang w:eastAsia="pt-BR"/>
              </w:rPr>
              <w:t>00139/2000/004/2018 e 06692/2005/003/2016</w:t>
            </w:r>
          </w:p>
        </w:tc>
      </w:tr>
      <w:tr w:rsidR="006917C0" w14:paraId="1F33BCB0"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7F6CB155"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Fase do licenciamento</w:t>
            </w:r>
          </w:p>
        </w:tc>
        <w:tc>
          <w:tcPr>
            <w:tcW w:w="3938" w:type="dxa"/>
            <w:tcBorders>
              <w:top w:val="outset" w:sz="6" w:space="0" w:color="auto"/>
              <w:left w:val="outset" w:sz="6" w:space="0" w:color="auto"/>
              <w:bottom w:val="outset" w:sz="6" w:space="0" w:color="auto"/>
              <w:right w:val="outset" w:sz="6" w:space="0" w:color="auto"/>
            </w:tcBorders>
            <w:vAlign w:val="center"/>
          </w:tcPr>
          <w:p w14:paraId="07DC0836"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LOC</w:t>
            </w:r>
          </w:p>
        </w:tc>
      </w:tr>
      <w:tr w:rsidR="006917C0" w14:paraId="390A9506"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1EDA60D7"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Empreendedores</w:t>
            </w:r>
          </w:p>
        </w:tc>
        <w:tc>
          <w:tcPr>
            <w:tcW w:w="3938" w:type="dxa"/>
            <w:tcBorders>
              <w:top w:val="outset" w:sz="6" w:space="0" w:color="auto"/>
              <w:left w:val="outset" w:sz="6" w:space="0" w:color="auto"/>
              <w:bottom w:val="outset" w:sz="6" w:space="0" w:color="auto"/>
              <w:right w:val="outset" w:sz="6" w:space="0" w:color="auto"/>
            </w:tcBorders>
            <w:vAlign w:val="center"/>
          </w:tcPr>
          <w:p w14:paraId="3AC1D4B9" w14:textId="77777777" w:rsidR="006917C0" w:rsidRDefault="006C5ED1">
            <w:pPr>
              <w:pStyle w:val="Default"/>
              <w:rPr>
                <w:rFonts w:asciiTheme="minorHAnsi" w:eastAsia="Times New Roman" w:hAnsiTheme="minorHAnsi" w:cstheme="minorHAnsi"/>
                <w:sz w:val="26"/>
                <w:szCs w:val="26"/>
                <w:lang w:eastAsia="pt-BR"/>
              </w:rPr>
            </w:pPr>
            <w:r>
              <w:rPr>
                <w:rFonts w:asciiTheme="minorHAnsi" w:eastAsia="Times New Roman" w:hAnsiTheme="minorHAnsi" w:cstheme="minorHAnsi"/>
                <w:sz w:val="26"/>
                <w:szCs w:val="26"/>
                <w:lang w:eastAsia="pt-BR"/>
              </w:rPr>
              <w:t>Bellas Pedras Comércio e Extração Ltda e, Antônio Francisco da Silva e Cia Ltda</w:t>
            </w:r>
          </w:p>
        </w:tc>
      </w:tr>
      <w:tr w:rsidR="006917C0" w14:paraId="6F3B195B"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6603DC85"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CNPJ / CPF</w:t>
            </w:r>
          </w:p>
        </w:tc>
        <w:tc>
          <w:tcPr>
            <w:tcW w:w="3938" w:type="dxa"/>
            <w:tcBorders>
              <w:top w:val="outset" w:sz="6" w:space="0" w:color="auto"/>
              <w:left w:val="outset" w:sz="6" w:space="0" w:color="auto"/>
              <w:bottom w:val="outset" w:sz="6" w:space="0" w:color="auto"/>
              <w:right w:val="outset" w:sz="6" w:space="0" w:color="auto"/>
            </w:tcBorders>
            <w:vAlign w:val="center"/>
          </w:tcPr>
          <w:p w14:paraId="3D2FD640" w14:textId="77777777" w:rsidR="006917C0" w:rsidRDefault="006C5ED1">
            <w:pPr>
              <w:pStyle w:val="Default"/>
              <w:rPr>
                <w:rFonts w:asciiTheme="minorHAnsi" w:eastAsia="Times New Roman" w:hAnsiTheme="minorHAnsi" w:cstheme="minorHAnsi"/>
                <w:sz w:val="26"/>
                <w:szCs w:val="26"/>
                <w:lang w:eastAsia="pt-BR"/>
              </w:rPr>
            </w:pPr>
            <w:r>
              <w:rPr>
                <w:rFonts w:asciiTheme="minorHAnsi" w:eastAsia="Times New Roman" w:hAnsiTheme="minorHAnsi" w:cstheme="minorHAnsi"/>
                <w:sz w:val="26"/>
                <w:szCs w:val="26"/>
                <w:lang w:eastAsia="pt-BR"/>
              </w:rPr>
              <w:t>22.219.836/0002-03 e 05.879.534/0001-53</w:t>
            </w:r>
          </w:p>
        </w:tc>
      </w:tr>
      <w:tr w:rsidR="006917C0" w14:paraId="66A1443F"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4948BC88" w14:textId="77777777" w:rsidR="006917C0" w:rsidRDefault="006C5ED1">
            <w:pPr>
              <w:spacing w:after="0" w:line="240" w:lineRule="auto"/>
              <w:rPr>
                <w:rFonts w:eastAsia="Times New Roman" w:cstheme="minorHAnsi"/>
                <w:color w:val="000000"/>
                <w:sz w:val="26"/>
                <w:szCs w:val="26"/>
                <w:highlight w:val="yellow"/>
                <w:lang w:eastAsia="pt-BR"/>
              </w:rPr>
            </w:pPr>
            <w:r>
              <w:rPr>
                <w:rFonts w:eastAsia="Times New Roman" w:cstheme="minorHAnsi"/>
                <w:b/>
                <w:bCs/>
                <w:color w:val="000000"/>
                <w:sz w:val="26"/>
                <w:szCs w:val="26"/>
                <w:lang w:eastAsia="pt-BR"/>
              </w:rPr>
              <w:t>Empreendimento</w:t>
            </w:r>
          </w:p>
        </w:tc>
        <w:tc>
          <w:tcPr>
            <w:tcW w:w="3938" w:type="dxa"/>
            <w:tcBorders>
              <w:top w:val="outset" w:sz="6" w:space="0" w:color="auto"/>
              <w:left w:val="outset" w:sz="6" w:space="0" w:color="auto"/>
              <w:bottom w:val="outset" w:sz="6" w:space="0" w:color="auto"/>
              <w:right w:val="outset" w:sz="6" w:space="0" w:color="auto"/>
            </w:tcBorders>
            <w:vAlign w:val="center"/>
          </w:tcPr>
          <w:p w14:paraId="06758CA5" w14:textId="77777777" w:rsidR="006917C0" w:rsidRDefault="006C5ED1">
            <w:pPr>
              <w:spacing w:after="0" w:line="240" w:lineRule="auto"/>
              <w:rPr>
                <w:rFonts w:cs="Calibri"/>
                <w:color w:val="000000"/>
                <w:highlight w:val="yellow"/>
              </w:rPr>
            </w:pPr>
            <w:r>
              <w:rPr>
                <w:rFonts w:eastAsia="Times New Roman" w:cstheme="minorHAnsi"/>
                <w:color w:val="000000"/>
                <w:sz w:val="26"/>
                <w:szCs w:val="26"/>
                <w:lang w:eastAsia="pt-BR"/>
              </w:rPr>
              <w:t>Bellas</w:t>
            </w:r>
            <w:r>
              <w:rPr>
                <w:rFonts w:eastAsia="Times New Roman" w:cstheme="minorHAnsi"/>
                <w:sz w:val="26"/>
                <w:szCs w:val="26"/>
                <w:lang w:eastAsia="pt-BR"/>
              </w:rPr>
              <w:t xml:space="preserve"> </w:t>
            </w:r>
            <w:r>
              <w:rPr>
                <w:rFonts w:eastAsia="Times New Roman" w:cstheme="minorHAnsi"/>
                <w:color w:val="000000"/>
                <w:sz w:val="26"/>
                <w:szCs w:val="26"/>
                <w:lang w:eastAsia="pt-BR"/>
              </w:rPr>
              <w:t>Pedras Comércio e Extração Ltda</w:t>
            </w:r>
            <w:r>
              <w:rPr>
                <w:rFonts w:eastAsia="Times New Roman" w:cstheme="minorHAnsi"/>
                <w:sz w:val="26"/>
                <w:szCs w:val="26"/>
                <w:lang w:eastAsia="pt-BR"/>
              </w:rPr>
              <w:t xml:space="preserve"> e</w:t>
            </w:r>
            <w:r>
              <w:rPr>
                <w:rFonts w:eastAsia="Times New Roman" w:cstheme="minorHAnsi"/>
                <w:color w:val="000000"/>
                <w:sz w:val="26"/>
                <w:szCs w:val="26"/>
                <w:lang w:eastAsia="pt-BR"/>
              </w:rPr>
              <w:t>, Antônio Francisco</w:t>
            </w:r>
            <w:r>
              <w:rPr>
                <w:rFonts w:eastAsia="Times New Roman" w:cstheme="minorHAnsi"/>
                <w:sz w:val="26"/>
                <w:szCs w:val="26"/>
                <w:lang w:eastAsia="pt-BR"/>
              </w:rPr>
              <w:t xml:space="preserve"> </w:t>
            </w:r>
            <w:r>
              <w:rPr>
                <w:rFonts w:eastAsia="Times New Roman" w:cstheme="minorHAnsi"/>
                <w:color w:val="000000"/>
                <w:sz w:val="26"/>
                <w:szCs w:val="26"/>
                <w:lang w:eastAsia="pt-BR"/>
              </w:rPr>
              <w:t>da Silva e Cia Ltda</w:t>
            </w:r>
          </w:p>
        </w:tc>
      </w:tr>
      <w:tr w:rsidR="006917C0" w14:paraId="7C4EA4B2" w14:textId="77777777">
        <w:trPr>
          <w:trHeight w:val="1008"/>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53C40877" w14:textId="77777777" w:rsidR="006917C0" w:rsidRDefault="006C5ED1">
            <w:pPr>
              <w:spacing w:after="0" w:line="240" w:lineRule="auto"/>
              <w:rPr>
                <w:rFonts w:eastAsia="Times New Roman" w:cstheme="minorHAnsi"/>
                <w:color w:val="000000"/>
                <w:sz w:val="26"/>
                <w:szCs w:val="26"/>
                <w:highlight w:val="yellow"/>
                <w:lang w:eastAsia="pt-BR"/>
              </w:rPr>
            </w:pPr>
            <w:r>
              <w:rPr>
                <w:rFonts w:eastAsia="Times New Roman" w:cstheme="minorHAnsi"/>
                <w:b/>
                <w:bCs/>
                <w:color w:val="000000"/>
                <w:sz w:val="26"/>
                <w:szCs w:val="26"/>
                <w:lang w:eastAsia="pt-BR"/>
              </w:rPr>
              <w:t>DNPM / ANM</w:t>
            </w:r>
          </w:p>
        </w:tc>
        <w:tc>
          <w:tcPr>
            <w:tcW w:w="3938" w:type="dxa"/>
            <w:tcBorders>
              <w:top w:val="outset" w:sz="6" w:space="0" w:color="auto"/>
              <w:left w:val="outset" w:sz="6" w:space="0" w:color="auto"/>
              <w:bottom w:val="outset" w:sz="6" w:space="0" w:color="auto"/>
              <w:right w:val="outset" w:sz="6" w:space="0" w:color="auto"/>
            </w:tcBorders>
            <w:vAlign w:val="center"/>
          </w:tcPr>
          <w:p w14:paraId="2285A66F" w14:textId="77777777" w:rsidR="006917C0" w:rsidRDefault="006C5ED1">
            <w:pPr>
              <w:spacing w:after="0" w:line="240" w:lineRule="auto"/>
              <w:rPr>
                <w:rFonts w:eastAsia="Times New Roman" w:cstheme="minorHAnsi"/>
                <w:bCs/>
                <w:sz w:val="26"/>
                <w:szCs w:val="26"/>
                <w:highlight w:val="yellow"/>
                <w:lang w:eastAsia="pt-BR"/>
              </w:rPr>
            </w:pPr>
            <w:r>
              <w:rPr>
                <w:rFonts w:eastAsia="Times New Roman" w:cstheme="minorHAnsi"/>
                <w:color w:val="000000"/>
                <w:sz w:val="26"/>
                <w:szCs w:val="26"/>
                <w:lang w:eastAsia="pt-BR"/>
              </w:rPr>
              <w:t>832.040/1997, 830.310/2013, 832.689/2001, 833.915/2011 e 835.542/1993.</w:t>
            </w:r>
          </w:p>
        </w:tc>
      </w:tr>
      <w:tr w:rsidR="006917C0" w14:paraId="793F18DA"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70113F97"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Atividade principal</w:t>
            </w:r>
          </w:p>
        </w:tc>
        <w:tc>
          <w:tcPr>
            <w:tcW w:w="3938" w:type="dxa"/>
            <w:tcBorders>
              <w:top w:val="outset" w:sz="6" w:space="0" w:color="auto"/>
              <w:left w:val="outset" w:sz="6" w:space="0" w:color="auto"/>
              <w:bottom w:val="outset" w:sz="6" w:space="0" w:color="auto"/>
              <w:right w:val="outset" w:sz="6" w:space="0" w:color="auto"/>
            </w:tcBorders>
            <w:vAlign w:val="center"/>
          </w:tcPr>
          <w:p w14:paraId="60C178AB" w14:textId="77777777" w:rsidR="006917C0" w:rsidRDefault="006C5ED1">
            <w:pPr>
              <w:pStyle w:val="Default"/>
              <w:rPr>
                <w:rFonts w:asciiTheme="minorHAnsi" w:eastAsia="Times New Roman" w:hAnsiTheme="minorHAnsi" w:cstheme="minorHAnsi"/>
                <w:sz w:val="26"/>
                <w:szCs w:val="26"/>
                <w:lang w:eastAsia="pt-BR"/>
              </w:rPr>
            </w:pPr>
            <w:r>
              <w:rPr>
                <w:rFonts w:asciiTheme="minorHAnsi" w:eastAsia="Times New Roman" w:hAnsiTheme="minorHAnsi" w:cstheme="minorHAnsi"/>
                <w:sz w:val="26"/>
                <w:szCs w:val="26"/>
                <w:lang w:eastAsia="pt-BR"/>
              </w:rPr>
              <w:t>Lavra a céu aberto - rochas ornamentais e de revestimento; pilha de rejeito/estéril de rochas ornamentais e de revestimento.</w:t>
            </w:r>
          </w:p>
        </w:tc>
      </w:tr>
      <w:tr w:rsidR="006917C0" w14:paraId="7FA557CC"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04A95025"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Classe</w:t>
            </w:r>
          </w:p>
        </w:tc>
        <w:tc>
          <w:tcPr>
            <w:tcW w:w="3938" w:type="dxa"/>
            <w:tcBorders>
              <w:top w:val="outset" w:sz="6" w:space="0" w:color="auto"/>
              <w:left w:val="outset" w:sz="6" w:space="0" w:color="auto"/>
              <w:bottom w:val="outset" w:sz="6" w:space="0" w:color="auto"/>
              <w:right w:val="outset" w:sz="6" w:space="0" w:color="auto"/>
            </w:tcBorders>
            <w:vAlign w:val="center"/>
          </w:tcPr>
          <w:p w14:paraId="6E74531C"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 4</w:t>
            </w:r>
          </w:p>
        </w:tc>
      </w:tr>
      <w:tr w:rsidR="006917C0" w14:paraId="43A819DF"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05262C6B"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Condicionantes</w:t>
            </w:r>
          </w:p>
        </w:tc>
        <w:tc>
          <w:tcPr>
            <w:tcW w:w="3938" w:type="dxa"/>
            <w:tcBorders>
              <w:top w:val="outset" w:sz="6" w:space="0" w:color="auto"/>
              <w:left w:val="outset" w:sz="6" w:space="0" w:color="auto"/>
              <w:bottom w:val="outset" w:sz="6" w:space="0" w:color="auto"/>
              <w:right w:val="outset" w:sz="6" w:space="0" w:color="auto"/>
            </w:tcBorders>
            <w:vAlign w:val="center"/>
          </w:tcPr>
          <w:p w14:paraId="2482A95D"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 2, 3 e 4</w:t>
            </w:r>
          </w:p>
        </w:tc>
      </w:tr>
      <w:tr w:rsidR="006917C0" w14:paraId="69305C8F"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22F5459F"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Enquadramento</w:t>
            </w:r>
          </w:p>
        </w:tc>
        <w:tc>
          <w:tcPr>
            <w:tcW w:w="3938" w:type="dxa"/>
            <w:tcBorders>
              <w:top w:val="outset" w:sz="6" w:space="0" w:color="auto"/>
              <w:left w:val="outset" w:sz="6" w:space="0" w:color="auto"/>
              <w:bottom w:val="outset" w:sz="6" w:space="0" w:color="auto"/>
              <w:right w:val="outset" w:sz="6" w:space="0" w:color="auto"/>
            </w:tcBorders>
            <w:vAlign w:val="center"/>
          </w:tcPr>
          <w:p w14:paraId="367CB4C9"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§1º e §2º</w:t>
            </w:r>
            <w:r>
              <w:rPr>
                <w:rFonts w:eastAsia="Times New Roman" w:cstheme="minorHAnsi"/>
                <w:color w:val="000000"/>
                <w:sz w:val="26"/>
                <w:szCs w:val="26"/>
                <w:lang w:val="en-US" w:eastAsia="pt-BR"/>
              </w:rPr>
              <w:t>,</w:t>
            </w:r>
            <w:r>
              <w:rPr>
                <w:rFonts w:eastAsia="Times New Roman" w:cstheme="minorHAnsi"/>
                <w:color w:val="000000"/>
                <w:sz w:val="26"/>
                <w:szCs w:val="26"/>
                <w:lang w:eastAsia="pt-BR"/>
              </w:rPr>
              <w:t xml:space="preserve"> do Art. 75</w:t>
            </w:r>
            <w:r>
              <w:rPr>
                <w:rFonts w:eastAsia="Times New Roman" w:cstheme="minorHAnsi"/>
                <w:color w:val="000000"/>
                <w:sz w:val="26"/>
                <w:szCs w:val="26"/>
                <w:lang w:val="en-US" w:eastAsia="pt-BR"/>
              </w:rPr>
              <w:t>,</w:t>
            </w:r>
            <w:r>
              <w:rPr>
                <w:rFonts w:eastAsia="Times New Roman" w:cstheme="minorHAnsi"/>
                <w:color w:val="000000"/>
                <w:sz w:val="26"/>
                <w:szCs w:val="26"/>
                <w:lang w:eastAsia="pt-BR"/>
              </w:rPr>
              <w:t xml:space="preserve"> da Lei nº 20.922/2013</w:t>
            </w:r>
          </w:p>
        </w:tc>
      </w:tr>
      <w:tr w:rsidR="006917C0" w14:paraId="78CDAB28"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7F5BB61C"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Localização do empreendimento </w:t>
            </w:r>
          </w:p>
        </w:tc>
        <w:tc>
          <w:tcPr>
            <w:tcW w:w="3938" w:type="dxa"/>
            <w:tcBorders>
              <w:top w:val="outset" w:sz="6" w:space="0" w:color="auto"/>
              <w:left w:val="outset" w:sz="6" w:space="0" w:color="auto"/>
              <w:bottom w:val="outset" w:sz="6" w:space="0" w:color="auto"/>
              <w:right w:val="outset" w:sz="6" w:space="0" w:color="auto"/>
            </w:tcBorders>
            <w:vAlign w:val="center"/>
          </w:tcPr>
          <w:p w14:paraId="7C663A0B"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São Thomé das Letras</w:t>
            </w:r>
          </w:p>
        </w:tc>
      </w:tr>
      <w:tr w:rsidR="006917C0" w14:paraId="508D7313"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052C24C8"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Bacia hidrográfica do empreendimento</w:t>
            </w:r>
          </w:p>
        </w:tc>
        <w:tc>
          <w:tcPr>
            <w:tcW w:w="3938" w:type="dxa"/>
            <w:tcBorders>
              <w:top w:val="outset" w:sz="6" w:space="0" w:color="auto"/>
              <w:left w:val="outset" w:sz="6" w:space="0" w:color="auto"/>
              <w:bottom w:val="outset" w:sz="6" w:space="0" w:color="auto"/>
              <w:right w:val="outset" w:sz="6" w:space="0" w:color="auto"/>
            </w:tcBorders>
            <w:vAlign w:val="center"/>
          </w:tcPr>
          <w:p w14:paraId="098BBAE4"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 Rio Grande</w:t>
            </w:r>
          </w:p>
        </w:tc>
      </w:tr>
      <w:tr w:rsidR="006917C0" w14:paraId="1AFEF4A1"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5D848D39"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Sub-bacia hidrográfica do empreendimento</w:t>
            </w:r>
          </w:p>
        </w:tc>
        <w:tc>
          <w:tcPr>
            <w:tcW w:w="3938" w:type="dxa"/>
            <w:tcBorders>
              <w:top w:val="outset" w:sz="6" w:space="0" w:color="auto"/>
              <w:left w:val="outset" w:sz="6" w:space="0" w:color="auto"/>
              <w:bottom w:val="outset" w:sz="6" w:space="0" w:color="auto"/>
              <w:right w:val="outset" w:sz="6" w:space="0" w:color="auto"/>
            </w:tcBorders>
            <w:vAlign w:val="center"/>
          </w:tcPr>
          <w:p w14:paraId="412A9E12" w14:textId="77777777" w:rsidR="006917C0" w:rsidRDefault="006C5ED1">
            <w:pPr>
              <w:spacing w:after="0" w:line="240" w:lineRule="auto"/>
              <w:rPr>
                <w:rFonts w:ascii="Arial" w:hAnsi="Arial" w:cs="Arial"/>
                <w:color w:val="4D4D4D"/>
              </w:rPr>
            </w:pPr>
            <w:r>
              <w:rPr>
                <w:rFonts w:eastAsia="Times New Roman" w:cstheme="minorHAnsi"/>
                <w:color w:val="000000"/>
                <w:sz w:val="26"/>
                <w:szCs w:val="26"/>
                <w:lang w:eastAsia="pt-BR"/>
              </w:rPr>
              <w:t>Bacia Hidrográfica Estadual Rio Verde</w:t>
            </w:r>
            <w:r>
              <w:t xml:space="preserve"> </w:t>
            </w:r>
            <w:r>
              <w:rPr>
                <w:rFonts w:eastAsia="Times New Roman" w:cstheme="minorHAnsi"/>
                <w:color w:val="000000"/>
                <w:sz w:val="26"/>
                <w:szCs w:val="26"/>
                <w:lang w:eastAsia="pt-BR"/>
              </w:rPr>
              <w:t>(GD4). Sub- Bacia: Ribeirão Vermelho</w:t>
            </w:r>
          </w:p>
        </w:tc>
      </w:tr>
      <w:tr w:rsidR="006917C0" w14:paraId="3F682594"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vAlign w:val="center"/>
          </w:tcPr>
          <w:p w14:paraId="41FB8108"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 xml:space="preserve">Área intervinda / Área Diretamente </w:t>
            </w:r>
            <w:r>
              <w:rPr>
                <w:rFonts w:eastAsia="Times New Roman" w:cstheme="minorHAnsi"/>
                <w:color w:val="000000"/>
                <w:sz w:val="26"/>
                <w:szCs w:val="26"/>
                <w:lang w:eastAsia="pt-BR"/>
              </w:rPr>
              <w:lastRenderedPageBreak/>
              <w:t>Afetada (hectares)</w:t>
            </w:r>
          </w:p>
        </w:tc>
        <w:tc>
          <w:tcPr>
            <w:tcW w:w="3938" w:type="dxa"/>
            <w:tcBorders>
              <w:top w:val="outset" w:sz="6" w:space="0" w:color="auto"/>
              <w:left w:val="outset" w:sz="6" w:space="0" w:color="auto"/>
              <w:bottom w:val="outset" w:sz="6" w:space="0" w:color="auto"/>
              <w:right w:val="outset" w:sz="6" w:space="0" w:color="auto"/>
            </w:tcBorders>
            <w:vAlign w:val="center"/>
          </w:tcPr>
          <w:p w14:paraId="6891E0C0"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lastRenderedPageBreak/>
              <w:t>33,7016 (2,9787 + 30,7229)</w:t>
            </w:r>
          </w:p>
        </w:tc>
      </w:tr>
      <w:tr w:rsidR="006917C0" w14:paraId="187B085B"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shd w:val="clear" w:color="auto" w:fill="auto"/>
            <w:vAlign w:val="center"/>
          </w:tcPr>
          <w:p w14:paraId="197673F6"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Equipe ou empresa responsável pela elaboração do PECFM</w:t>
            </w:r>
          </w:p>
        </w:tc>
        <w:tc>
          <w:tcPr>
            <w:tcW w:w="3938" w:type="dxa"/>
            <w:tcBorders>
              <w:top w:val="outset" w:sz="6" w:space="0" w:color="auto"/>
              <w:left w:val="outset" w:sz="6" w:space="0" w:color="auto"/>
              <w:bottom w:val="outset" w:sz="6" w:space="0" w:color="auto"/>
              <w:right w:val="outset" w:sz="6" w:space="0" w:color="auto"/>
            </w:tcBorders>
            <w:shd w:val="clear" w:color="auto" w:fill="auto"/>
            <w:vAlign w:val="center"/>
          </w:tcPr>
          <w:p w14:paraId="704B6BFF"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Projetar-Serviços Ambientais e Construção Civil - Grupo Projetar. Ricardo Barros Pereira.</w:t>
            </w:r>
          </w:p>
        </w:tc>
      </w:tr>
      <w:tr w:rsidR="006917C0" w14:paraId="4B2F8602" w14:textId="77777777">
        <w:trPr>
          <w:tblCellSpacing w:w="4" w:type="dxa"/>
          <w:jc w:val="center"/>
        </w:trPr>
        <w:tc>
          <w:tcPr>
            <w:tcW w:w="4216" w:type="dxa"/>
            <w:tcBorders>
              <w:top w:val="outset" w:sz="6" w:space="0" w:color="auto"/>
              <w:left w:val="outset" w:sz="6" w:space="0" w:color="auto"/>
              <w:bottom w:val="outset" w:sz="6" w:space="0" w:color="auto"/>
              <w:right w:val="outset" w:sz="6" w:space="0" w:color="auto"/>
            </w:tcBorders>
            <w:shd w:val="clear" w:color="auto" w:fill="auto"/>
            <w:vAlign w:val="center"/>
          </w:tcPr>
          <w:p w14:paraId="42FC4222"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Modalidade da proposta</w:t>
            </w:r>
          </w:p>
        </w:tc>
        <w:tc>
          <w:tcPr>
            <w:tcW w:w="3938" w:type="dxa"/>
            <w:tcBorders>
              <w:top w:val="outset" w:sz="6" w:space="0" w:color="auto"/>
              <w:left w:val="outset" w:sz="6" w:space="0" w:color="auto"/>
              <w:bottom w:val="outset" w:sz="6" w:space="0" w:color="auto"/>
              <w:right w:val="outset" w:sz="6" w:space="0" w:color="auto"/>
            </w:tcBorders>
            <w:shd w:val="clear" w:color="auto" w:fill="auto"/>
            <w:vAlign w:val="center"/>
          </w:tcPr>
          <w:p w14:paraId="6281D93B"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  ) Implantação/manutenção</w:t>
            </w:r>
          </w:p>
          <w:p w14:paraId="2A77A632"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 X ) Regularização fundiária</w:t>
            </w:r>
          </w:p>
        </w:tc>
      </w:tr>
    </w:tbl>
    <w:p w14:paraId="7934DD41" w14:textId="77777777" w:rsidR="006917C0" w:rsidRDefault="006917C0">
      <w:pPr>
        <w:spacing w:before="120" w:after="120" w:line="240" w:lineRule="auto"/>
        <w:ind w:right="120"/>
        <w:jc w:val="both"/>
        <w:rPr>
          <w:rFonts w:eastAsia="Times New Roman" w:cstheme="minorHAnsi"/>
          <w:color w:val="000000"/>
          <w:sz w:val="26"/>
          <w:szCs w:val="26"/>
          <w:highlight w:val="yellow"/>
          <w:lang w:eastAsia="pt-BR"/>
        </w:rPr>
      </w:pPr>
    </w:p>
    <w:tbl>
      <w:tblPr>
        <w:tblW w:w="0" w:type="auto"/>
        <w:jc w:val="center"/>
        <w:tblCellSpacing w:w="4" w:type="dxa"/>
        <w:tblBorders>
          <w:top w:val="outset" w:sz="6" w:space="0" w:color="auto"/>
          <w:left w:val="outset" w:sz="6" w:space="0" w:color="auto"/>
          <w:bottom w:val="outset" w:sz="6" w:space="0" w:color="auto"/>
          <w:right w:val="outset" w:sz="6" w:space="0" w:color="auto"/>
        </w:tblBorders>
        <w:tblCellMar>
          <w:top w:w="9" w:type="dxa"/>
          <w:left w:w="9" w:type="dxa"/>
          <w:bottom w:w="9" w:type="dxa"/>
          <w:right w:w="9" w:type="dxa"/>
        </w:tblCellMar>
        <w:tblLook w:val="04A0" w:firstRow="1" w:lastRow="0" w:firstColumn="1" w:lastColumn="0" w:noHBand="0" w:noVBand="1"/>
      </w:tblPr>
      <w:tblGrid>
        <w:gridCol w:w="4142"/>
        <w:gridCol w:w="3957"/>
      </w:tblGrid>
      <w:tr w:rsidR="006917C0" w14:paraId="7863C1C4" w14:textId="77777777">
        <w:trPr>
          <w:tblCellSpacing w:w="4" w:type="dxa"/>
          <w:jc w:val="center"/>
        </w:trPr>
        <w:tc>
          <w:tcPr>
            <w:tcW w:w="4130" w:type="dxa"/>
            <w:tcBorders>
              <w:top w:val="outset" w:sz="6" w:space="0" w:color="auto"/>
              <w:left w:val="outset" w:sz="6" w:space="0" w:color="auto"/>
              <w:bottom w:val="outset" w:sz="6" w:space="0" w:color="auto"/>
              <w:right w:val="outset" w:sz="6" w:space="0" w:color="auto"/>
            </w:tcBorders>
            <w:vAlign w:val="center"/>
          </w:tcPr>
          <w:p w14:paraId="7C190158"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Localização da área proposta</w:t>
            </w:r>
          </w:p>
        </w:tc>
        <w:tc>
          <w:tcPr>
            <w:tcW w:w="3945" w:type="dxa"/>
            <w:tcBorders>
              <w:top w:val="outset" w:sz="6" w:space="0" w:color="auto"/>
              <w:left w:val="outset" w:sz="6" w:space="0" w:color="auto"/>
              <w:bottom w:val="outset" w:sz="6" w:space="0" w:color="auto"/>
              <w:right w:val="outset" w:sz="6" w:space="0" w:color="auto"/>
            </w:tcBorders>
            <w:vAlign w:val="center"/>
          </w:tcPr>
          <w:p w14:paraId="66557B30"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Parque Estadual Serra do Papagaio - PESP</w:t>
            </w:r>
          </w:p>
        </w:tc>
      </w:tr>
      <w:tr w:rsidR="006917C0" w14:paraId="004E0F88" w14:textId="77777777">
        <w:trPr>
          <w:tblCellSpacing w:w="4" w:type="dxa"/>
          <w:jc w:val="center"/>
        </w:trPr>
        <w:tc>
          <w:tcPr>
            <w:tcW w:w="4130" w:type="dxa"/>
            <w:tcBorders>
              <w:top w:val="outset" w:sz="6" w:space="0" w:color="auto"/>
              <w:left w:val="outset" w:sz="6" w:space="0" w:color="auto"/>
              <w:bottom w:val="outset" w:sz="6" w:space="0" w:color="auto"/>
              <w:right w:val="outset" w:sz="6" w:space="0" w:color="auto"/>
            </w:tcBorders>
            <w:vAlign w:val="center"/>
          </w:tcPr>
          <w:p w14:paraId="260D7A89"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Município da área proposta</w:t>
            </w:r>
          </w:p>
        </w:tc>
        <w:tc>
          <w:tcPr>
            <w:tcW w:w="3945" w:type="dxa"/>
            <w:tcBorders>
              <w:top w:val="outset" w:sz="6" w:space="0" w:color="auto"/>
              <w:left w:val="outset" w:sz="6" w:space="0" w:color="auto"/>
              <w:bottom w:val="outset" w:sz="6" w:space="0" w:color="auto"/>
              <w:right w:val="outset" w:sz="6" w:space="0" w:color="auto"/>
            </w:tcBorders>
            <w:vAlign w:val="center"/>
          </w:tcPr>
          <w:p w14:paraId="6E2296D5"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color w:val="000000"/>
                <w:sz w:val="26"/>
                <w:szCs w:val="26"/>
                <w:lang w:eastAsia="pt-BR"/>
              </w:rPr>
              <w:t> </w:t>
            </w:r>
          </w:p>
          <w:p w14:paraId="40016B01" w14:textId="77777777" w:rsidR="006917C0" w:rsidRDefault="006C5ED1">
            <w:pPr>
              <w:pStyle w:val="Default"/>
              <w:rPr>
                <w:rFonts w:asciiTheme="minorHAnsi" w:eastAsia="Times New Roman" w:hAnsiTheme="minorHAnsi" w:cstheme="minorHAnsi"/>
                <w:sz w:val="26"/>
                <w:szCs w:val="26"/>
                <w:lang w:eastAsia="pt-BR"/>
              </w:rPr>
            </w:pPr>
            <w:r>
              <w:rPr>
                <w:rFonts w:asciiTheme="minorHAnsi" w:eastAsia="Times New Roman" w:hAnsiTheme="minorHAnsi" w:cstheme="minorHAnsi"/>
                <w:sz w:val="26"/>
                <w:szCs w:val="26"/>
                <w:lang w:eastAsia="pt-BR"/>
              </w:rPr>
              <w:t>Pouso Alto</w:t>
            </w:r>
          </w:p>
          <w:p w14:paraId="1172E87F" w14:textId="77777777" w:rsidR="006917C0" w:rsidRDefault="006917C0">
            <w:pPr>
              <w:spacing w:after="0" w:line="240" w:lineRule="auto"/>
              <w:rPr>
                <w:rFonts w:eastAsia="Times New Roman" w:cstheme="minorHAnsi"/>
                <w:color w:val="000000"/>
                <w:sz w:val="26"/>
                <w:szCs w:val="26"/>
                <w:lang w:eastAsia="pt-BR"/>
              </w:rPr>
            </w:pPr>
          </w:p>
        </w:tc>
      </w:tr>
      <w:tr w:rsidR="006917C0" w14:paraId="2D52D44B" w14:textId="77777777">
        <w:trPr>
          <w:tblCellSpacing w:w="4" w:type="dxa"/>
          <w:jc w:val="center"/>
        </w:trPr>
        <w:tc>
          <w:tcPr>
            <w:tcW w:w="4130" w:type="dxa"/>
            <w:tcBorders>
              <w:top w:val="outset" w:sz="6" w:space="0" w:color="auto"/>
              <w:left w:val="outset" w:sz="6" w:space="0" w:color="auto"/>
              <w:bottom w:val="outset" w:sz="6" w:space="0" w:color="auto"/>
              <w:right w:val="outset" w:sz="6" w:space="0" w:color="auto"/>
            </w:tcBorders>
            <w:vAlign w:val="center"/>
          </w:tcPr>
          <w:p w14:paraId="4DB67B25"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Área proposta (hectares)</w:t>
            </w:r>
          </w:p>
        </w:tc>
        <w:tc>
          <w:tcPr>
            <w:tcW w:w="3945" w:type="dxa"/>
            <w:tcBorders>
              <w:top w:val="outset" w:sz="6" w:space="0" w:color="auto"/>
              <w:left w:val="outset" w:sz="6" w:space="0" w:color="auto"/>
              <w:bottom w:val="outset" w:sz="6" w:space="0" w:color="auto"/>
              <w:right w:val="outset" w:sz="6" w:space="0" w:color="auto"/>
            </w:tcBorders>
            <w:vAlign w:val="center"/>
          </w:tcPr>
          <w:p w14:paraId="6C9F10C2"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sz w:val="26"/>
                <w:szCs w:val="26"/>
                <w:lang w:eastAsia="pt-BR"/>
              </w:rPr>
              <w:t xml:space="preserve">33,7468 </w:t>
            </w:r>
          </w:p>
        </w:tc>
      </w:tr>
      <w:tr w:rsidR="006917C0" w14:paraId="019E2A30" w14:textId="77777777">
        <w:trPr>
          <w:tblCellSpacing w:w="4" w:type="dxa"/>
          <w:jc w:val="center"/>
        </w:trPr>
        <w:tc>
          <w:tcPr>
            <w:tcW w:w="4130" w:type="dxa"/>
            <w:tcBorders>
              <w:top w:val="outset" w:sz="6" w:space="0" w:color="auto"/>
              <w:left w:val="outset" w:sz="6" w:space="0" w:color="auto"/>
              <w:bottom w:val="outset" w:sz="6" w:space="0" w:color="auto"/>
              <w:right w:val="outset" w:sz="6" w:space="0" w:color="auto"/>
            </w:tcBorders>
            <w:vAlign w:val="center"/>
          </w:tcPr>
          <w:p w14:paraId="5DA717C9"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Número da matrícula do imóvel a ser doado</w:t>
            </w:r>
          </w:p>
        </w:tc>
        <w:tc>
          <w:tcPr>
            <w:tcW w:w="3945" w:type="dxa"/>
            <w:tcBorders>
              <w:top w:val="outset" w:sz="6" w:space="0" w:color="auto"/>
              <w:left w:val="outset" w:sz="6" w:space="0" w:color="auto"/>
              <w:bottom w:val="outset" w:sz="6" w:space="0" w:color="auto"/>
              <w:right w:val="outset" w:sz="6" w:space="0" w:color="auto"/>
            </w:tcBorders>
            <w:vAlign w:val="center"/>
          </w:tcPr>
          <w:p w14:paraId="6E48725A" w14:textId="77777777" w:rsidR="006917C0" w:rsidRDefault="006C5ED1">
            <w:pPr>
              <w:spacing w:after="0" w:line="240" w:lineRule="auto"/>
              <w:rPr>
                <w:rFonts w:eastAsia="Times New Roman" w:cstheme="minorHAnsi"/>
                <w:sz w:val="26"/>
                <w:szCs w:val="26"/>
                <w:lang w:eastAsia="pt-BR"/>
              </w:rPr>
            </w:pPr>
            <w:r>
              <w:rPr>
                <w:rFonts w:eastAsia="Times New Roman" w:cstheme="minorHAnsi"/>
                <w:sz w:val="26"/>
                <w:szCs w:val="26"/>
                <w:lang w:eastAsia="pt-BR"/>
              </w:rPr>
              <w:t xml:space="preserve">13.411 </w:t>
            </w:r>
          </w:p>
          <w:p w14:paraId="6C57DBF5" w14:textId="77777777" w:rsidR="006917C0" w:rsidRDefault="006917C0">
            <w:pPr>
              <w:spacing w:after="0" w:line="240" w:lineRule="auto"/>
              <w:rPr>
                <w:rFonts w:eastAsia="Times New Roman" w:cstheme="minorHAnsi"/>
                <w:sz w:val="26"/>
                <w:szCs w:val="26"/>
                <w:lang w:eastAsia="pt-BR"/>
              </w:rPr>
            </w:pPr>
          </w:p>
        </w:tc>
      </w:tr>
      <w:tr w:rsidR="006917C0" w14:paraId="4FF5DB5A" w14:textId="77777777">
        <w:trPr>
          <w:tblCellSpacing w:w="4" w:type="dxa"/>
          <w:jc w:val="center"/>
        </w:trPr>
        <w:tc>
          <w:tcPr>
            <w:tcW w:w="4130" w:type="dxa"/>
            <w:tcBorders>
              <w:top w:val="outset" w:sz="6" w:space="0" w:color="auto"/>
              <w:left w:val="outset" w:sz="6" w:space="0" w:color="auto"/>
              <w:bottom w:val="outset" w:sz="6" w:space="0" w:color="auto"/>
              <w:right w:val="outset" w:sz="6" w:space="0" w:color="auto"/>
            </w:tcBorders>
            <w:vAlign w:val="center"/>
          </w:tcPr>
          <w:p w14:paraId="2BC5215F" w14:textId="77777777" w:rsidR="006917C0" w:rsidRDefault="006C5ED1">
            <w:pPr>
              <w:spacing w:after="0" w:line="240" w:lineRule="auto"/>
              <w:rPr>
                <w:rFonts w:eastAsia="Times New Roman" w:cstheme="minorHAnsi"/>
                <w:color w:val="000000"/>
                <w:sz w:val="26"/>
                <w:szCs w:val="26"/>
                <w:lang w:eastAsia="pt-BR"/>
              </w:rPr>
            </w:pPr>
            <w:r>
              <w:rPr>
                <w:rFonts w:eastAsia="Times New Roman" w:cstheme="minorHAnsi"/>
                <w:b/>
                <w:bCs/>
                <w:color w:val="000000"/>
                <w:sz w:val="26"/>
                <w:szCs w:val="26"/>
                <w:lang w:eastAsia="pt-BR"/>
              </w:rPr>
              <w:t>Nome do proprietário do imóvel a ser doado</w:t>
            </w:r>
          </w:p>
        </w:tc>
        <w:tc>
          <w:tcPr>
            <w:tcW w:w="3945" w:type="dxa"/>
            <w:tcBorders>
              <w:top w:val="outset" w:sz="6" w:space="0" w:color="auto"/>
              <w:left w:val="outset" w:sz="6" w:space="0" w:color="auto"/>
              <w:bottom w:val="outset" w:sz="6" w:space="0" w:color="auto"/>
              <w:right w:val="outset" w:sz="6" w:space="0" w:color="auto"/>
            </w:tcBorders>
            <w:vAlign w:val="center"/>
          </w:tcPr>
          <w:p w14:paraId="449DFA40" w14:textId="77777777" w:rsidR="006917C0" w:rsidRDefault="006C5ED1">
            <w:pPr>
              <w:spacing w:after="0" w:line="240" w:lineRule="auto"/>
              <w:rPr>
                <w:rFonts w:eastAsia="Times New Roman" w:cstheme="minorHAnsi"/>
                <w:sz w:val="26"/>
                <w:szCs w:val="26"/>
                <w:lang w:eastAsia="pt-BR"/>
              </w:rPr>
            </w:pPr>
            <w:r>
              <w:rPr>
                <w:rFonts w:eastAsia="Times New Roman" w:cstheme="minorHAnsi"/>
                <w:sz w:val="26"/>
                <w:szCs w:val="26"/>
                <w:lang w:eastAsia="pt-BR"/>
              </w:rPr>
              <w:t xml:space="preserve">Silvio de Souza Oliveira Filho </w:t>
            </w:r>
          </w:p>
          <w:p w14:paraId="7B964C31" w14:textId="77777777" w:rsidR="006917C0" w:rsidRDefault="006917C0">
            <w:pPr>
              <w:spacing w:after="0" w:line="240" w:lineRule="auto"/>
              <w:rPr>
                <w:rFonts w:eastAsia="Times New Roman" w:cstheme="minorHAnsi"/>
                <w:sz w:val="26"/>
                <w:szCs w:val="26"/>
                <w:lang w:eastAsia="pt-BR"/>
              </w:rPr>
            </w:pPr>
          </w:p>
        </w:tc>
      </w:tr>
    </w:tbl>
    <w:p w14:paraId="25ECE6BC" w14:textId="77777777" w:rsidR="006917C0" w:rsidRDefault="006C5ED1">
      <w:pPr>
        <w:spacing w:before="120" w:after="120" w:line="240" w:lineRule="auto"/>
        <w:ind w:left="120" w:right="120" w:firstLine="1418"/>
        <w:jc w:val="both"/>
        <w:rPr>
          <w:rFonts w:eastAsia="Times New Roman" w:cstheme="minorHAnsi"/>
          <w:color w:val="000000"/>
          <w:sz w:val="26"/>
          <w:szCs w:val="26"/>
          <w:lang w:eastAsia="pt-BR"/>
        </w:rPr>
      </w:pPr>
      <w:r>
        <w:rPr>
          <w:rFonts w:eastAsia="Times New Roman" w:cstheme="minorHAnsi"/>
          <w:color w:val="000000"/>
          <w:sz w:val="26"/>
          <w:szCs w:val="26"/>
          <w:lang w:eastAsia="pt-BR"/>
        </w:rPr>
        <w:t> </w:t>
      </w:r>
    </w:p>
    <w:p w14:paraId="0C5C8860" w14:textId="77777777" w:rsidR="006917C0" w:rsidRDefault="006C5ED1">
      <w:pPr>
        <w:shd w:val="clear" w:color="auto" w:fill="E6E6E6"/>
        <w:spacing w:before="120" w:after="120" w:line="240" w:lineRule="auto"/>
        <w:ind w:left="120" w:right="120"/>
        <w:jc w:val="both"/>
        <w:rPr>
          <w:rFonts w:eastAsia="Times New Roman" w:cstheme="minorHAnsi"/>
          <w:color w:val="000000"/>
          <w:sz w:val="26"/>
          <w:szCs w:val="26"/>
          <w:lang w:eastAsia="pt-BR"/>
        </w:rPr>
      </w:pPr>
      <w:r>
        <w:rPr>
          <w:rFonts w:eastAsia="Times New Roman" w:cstheme="minorHAnsi"/>
          <w:b/>
          <w:bCs/>
          <w:caps/>
          <w:color w:val="000000"/>
          <w:sz w:val="26"/>
          <w:szCs w:val="26"/>
          <w:lang w:eastAsia="pt-BR"/>
        </w:rPr>
        <w:t>2 - INTRODUÇÃO</w:t>
      </w:r>
    </w:p>
    <w:p w14:paraId="54E888B1"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O empreendimento </w:t>
      </w:r>
      <w:r>
        <w:rPr>
          <w:rFonts w:eastAsia="Times New Roman" w:cstheme="minorHAnsi"/>
          <w:b/>
          <w:color w:val="000000"/>
          <w:sz w:val="26"/>
          <w:szCs w:val="26"/>
          <w:lang w:eastAsia="pt-BR"/>
        </w:rPr>
        <w:t xml:space="preserve">Bellas Pedras Comércio e Extração Ltda e, Antônio Francisco da Silva e Cia Ltda, </w:t>
      </w:r>
      <w:r>
        <w:rPr>
          <w:rFonts w:eastAsia="Times New Roman" w:cstheme="minorHAnsi"/>
          <w:color w:val="000000"/>
          <w:sz w:val="26"/>
          <w:szCs w:val="26"/>
          <w:lang w:eastAsia="pt-BR"/>
        </w:rPr>
        <w:t xml:space="preserve">apresentaram proposta de compensação minerária, nos termos do Art. 75 da Lei nº 20.922/2013, Portaria IEF n° 27/2017, </w:t>
      </w:r>
      <w:r>
        <w:rPr>
          <w:rFonts w:eastAsia="Times New Roman" w:cstheme="minorHAnsi"/>
          <w:b/>
          <w:color w:val="000000"/>
          <w:sz w:val="26"/>
          <w:szCs w:val="26"/>
          <w:lang w:eastAsia="pt-BR"/>
        </w:rPr>
        <w:t>para as áreas dos DNPM/ANM número: 832.040/1997, 830.310/2013, 832.689/2001, 833.915/2011 e 835.542/1993.</w:t>
      </w:r>
    </w:p>
    <w:p w14:paraId="77D0C284"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A Compensação Ambiental Florestal Minerária, prevista no Art. 75 da Lei nº 20.922/2013, cabe a todo empreendimento minerário que dependa de supressão de vegetação nativa, estando condicionado à adoção, pelo empreendedor, de medida compensatória florestal que inclua a regularização fundiária e a implantação de Unidade de Conservação (UC) de Proteção Integral, independentemente das demais compensações previstas em lei. </w:t>
      </w:r>
    </w:p>
    <w:p w14:paraId="1EC34874"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O §1º do Art. 75 se aplica aos empreendimentos cujos processos de regularização ambiental foram formalizados após a publicação da Lei nº 20.922/2013, para os quais “A área utilizada como medida compensatória nos termos do caput não será inferior àquela que tiver vegetação nativa suprimida pelo empreendimento para extração do bem mineral, construção de estradas, construções diversas, beneficiamento ou estocagem, embarque e outras finalidades”.</w:t>
      </w:r>
    </w:p>
    <w:p w14:paraId="44BF3F6A"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Já o §2º do mesmo artigo, se aplica aos empreendimentos cujos processos de regularização ambiental foram formalizados em período anterior à publicação </w:t>
      </w:r>
      <w:r>
        <w:rPr>
          <w:rFonts w:eastAsia="Times New Roman" w:cstheme="minorHAnsi"/>
          <w:color w:val="000000"/>
          <w:sz w:val="26"/>
          <w:szCs w:val="26"/>
          <w:lang w:eastAsia="pt-BR"/>
        </w:rPr>
        <w:lastRenderedPageBreak/>
        <w:t>da referida Lei (17/10/2013), para as quais “O empreendimento minerário em processo de regularização ambiental ou já regularizado que ainda não tenha cumprido, até a data de publicação desta Lei, a medida compensatória instituída pelo art. 36 da Lei nº 14.309, de 19 de junho de 2002, continuará sujeito ao cumprimento das obrigações estabelecidas no artigo citado”. Nesse sentido, segundo os §§ 1º e 2º do Art. 36 da Lei nº 14.309/2002, a área utilizada para compensação não poderá ser inferior àquela utilizada pelo empreendimento para extração do bem mineral, construção de estradas, construções diversas, beneficiamento ou estocagem, embarque e outras finalidades e a compensação deverá ser feita, obrigatoriamente, na bacia hidrográfica e, preferencialmente, no município onde está instalado o empreendimento.</w:t>
      </w:r>
    </w:p>
    <w:p w14:paraId="77F0A4F7"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Para aplicação do disposto nos §§ 1º e 2º do Art. 75 da Lei nº 20.922/2013, é considerada a data de formalização da primeira licença do empreendimento minerário, ou seja, da data de apresentação, pelo empreendedor, do respectivo requerimento de licença prévia acompanhado de todos os documentos, projetos e estudos ambientais exigidos pelo órgão ambiental competente.</w:t>
      </w:r>
    </w:p>
    <w:p w14:paraId="65F5814D" w14:textId="77777777" w:rsidR="006917C0" w:rsidRDefault="006C5ED1">
      <w:pPr>
        <w:pStyle w:val="Default"/>
        <w:jc w:val="both"/>
        <w:rPr>
          <w:rFonts w:eastAsia="Times New Roman" w:cstheme="minorHAnsi"/>
          <w:sz w:val="26"/>
          <w:szCs w:val="26"/>
          <w:lang w:eastAsia="pt-BR"/>
        </w:rPr>
      </w:pPr>
      <w:r>
        <w:rPr>
          <w:rFonts w:eastAsia="Times New Roman" w:cstheme="minorHAnsi"/>
          <w:sz w:val="26"/>
          <w:szCs w:val="26"/>
          <w:lang w:eastAsia="pt-BR"/>
        </w:rPr>
        <w:t xml:space="preserve">Dessa forma, o objetivo deste parecer é verificar o enquadramento da compensação minerária e avaliar a referida proposta alusiva ao empreendimento  </w:t>
      </w:r>
      <w:r>
        <w:rPr>
          <w:rFonts w:eastAsia="Times New Roman" w:cstheme="minorHAnsi"/>
          <w:b/>
          <w:sz w:val="26"/>
          <w:szCs w:val="26"/>
          <w:lang w:eastAsia="pt-BR"/>
        </w:rPr>
        <w:t xml:space="preserve">Bellas Pedras Comércio e Extração Ltda </w:t>
      </w:r>
      <w:r>
        <w:rPr>
          <w:rFonts w:eastAsia="Times New Roman" w:cstheme="minorHAnsi"/>
          <w:bCs/>
          <w:sz w:val="26"/>
          <w:szCs w:val="26"/>
          <w:lang w:eastAsia="pt-BR"/>
        </w:rPr>
        <w:t>e</w:t>
      </w:r>
      <w:r>
        <w:rPr>
          <w:rFonts w:eastAsia="Times New Roman" w:cstheme="minorHAnsi"/>
          <w:b/>
          <w:sz w:val="26"/>
          <w:szCs w:val="26"/>
          <w:lang w:eastAsia="pt-BR"/>
        </w:rPr>
        <w:t xml:space="preserve"> Antônio Francisco da Silva e Cia Ltda </w:t>
      </w:r>
      <w:r>
        <w:rPr>
          <w:rFonts w:eastAsia="Times New Roman" w:cstheme="minorHAnsi"/>
          <w:sz w:val="26"/>
          <w:szCs w:val="26"/>
          <w:lang w:eastAsia="pt-BR"/>
        </w:rPr>
        <w:t>– Processos Administrativos COPAM nº </w:t>
      </w:r>
      <w:r>
        <w:rPr>
          <w:rFonts w:eastAsia="SimSun"/>
          <w:b/>
          <w:sz w:val="26"/>
          <w:szCs w:val="26"/>
        </w:rPr>
        <w:t xml:space="preserve">00139/2000/004/2018 e 06692/2005/003/2016 </w:t>
      </w:r>
      <w:r>
        <w:rPr>
          <w:rFonts w:eastAsia="Times New Roman" w:cstheme="minorHAnsi"/>
          <w:b/>
          <w:sz w:val="26"/>
          <w:szCs w:val="26"/>
          <w:lang w:eastAsia="pt-BR"/>
        </w:rPr>
        <w:t xml:space="preserve">para as áreas do DNPM números 832.040/1997, 830.310/2013, 832.689/2001, 833.915/2011 e 835.542/1993, </w:t>
      </w:r>
      <w:r>
        <w:rPr>
          <w:rFonts w:eastAsia="Times New Roman" w:cstheme="minorHAnsi"/>
          <w:sz w:val="26"/>
          <w:szCs w:val="26"/>
          <w:lang w:eastAsia="pt-BR"/>
        </w:rPr>
        <w:t>de modo a subsidiar a decisão da Câmara de Proteção a Biodiversidade e Áreas Protegidas – CPB COPAM no tocante ao Art. 13, inciso XIII do Decreto nº 46.953/2016, a partir da  análise do Projeto Executivo de Compensação Florestal Minerária – PECFM e demais documentos apresentados pelo empreendedor em observância a legislação pertinente, incluindo além das normas supracitadas, a Lei nº 23.558/2020, o Decreto nº 47.749/2019  e a Portaria IEF nº 77/2020.</w:t>
      </w:r>
    </w:p>
    <w:p w14:paraId="166E64A1" w14:textId="77777777" w:rsidR="006917C0" w:rsidRDefault="006C5ED1">
      <w:pPr>
        <w:spacing w:before="120" w:after="120" w:line="240" w:lineRule="auto"/>
        <w:ind w:left="120" w:right="120" w:firstLine="1418"/>
        <w:jc w:val="both"/>
        <w:rPr>
          <w:rFonts w:eastAsia="Times New Roman" w:cstheme="minorHAnsi"/>
          <w:color w:val="000000"/>
          <w:sz w:val="26"/>
          <w:szCs w:val="26"/>
          <w:lang w:eastAsia="pt-BR"/>
        </w:rPr>
      </w:pPr>
      <w:r>
        <w:rPr>
          <w:rFonts w:eastAsia="Times New Roman" w:cstheme="minorHAnsi"/>
          <w:color w:val="000000"/>
          <w:sz w:val="26"/>
          <w:szCs w:val="26"/>
          <w:lang w:eastAsia="pt-BR"/>
        </w:rPr>
        <w:t> </w:t>
      </w:r>
    </w:p>
    <w:p w14:paraId="24173F6B" w14:textId="77777777" w:rsidR="006917C0" w:rsidRDefault="006C5ED1">
      <w:pPr>
        <w:shd w:val="clear" w:color="auto" w:fill="E6E6E6"/>
        <w:spacing w:before="120" w:after="120" w:line="240" w:lineRule="auto"/>
        <w:ind w:left="120" w:right="120"/>
        <w:jc w:val="both"/>
        <w:rPr>
          <w:rFonts w:eastAsia="Times New Roman" w:cstheme="minorHAnsi"/>
          <w:color w:val="000000"/>
          <w:sz w:val="26"/>
          <w:szCs w:val="26"/>
          <w:lang w:eastAsia="pt-BR"/>
        </w:rPr>
      </w:pPr>
      <w:r>
        <w:rPr>
          <w:rFonts w:eastAsia="Times New Roman" w:cstheme="minorHAnsi"/>
          <w:b/>
          <w:bCs/>
          <w:caps/>
          <w:color w:val="000000"/>
          <w:sz w:val="26"/>
          <w:szCs w:val="26"/>
          <w:lang w:eastAsia="pt-BR"/>
        </w:rPr>
        <w:t>3 - HISTÓRICO DO EMPREENDIMENTO E ÁREA INTERVINDA</w:t>
      </w:r>
    </w:p>
    <w:p w14:paraId="2AE8B7ED" w14:textId="77777777" w:rsidR="006917C0" w:rsidRDefault="006917C0">
      <w:pPr>
        <w:spacing w:before="120" w:after="120" w:line="240" w:lineRule="auto"/>
        <w:ind w:right="120"/>
        <w:jc w:val="both"/>
        <w:rPr>
          <w:rFonts w:eastAsia="Times New Roman" w:cstheme="minorHAnsi"/>
          <w:color w:val="000000"/>
          <w:sz w:val="26"/>
          <w:szCs w:val="26"/>
          <w:highlight w:val="yellow"/>
          <w:lang w:eastAsia="pt-BR"/>
        </w:rPr>
      </w:pPr>
    </w:p>
    <w:p w14:paraId="3CE4C096" w14:textId="77777777" w:rsidR="006917C0" w:rsidRDefault="006C5ED1">
      <w:pPr>
        <w:autoSpaceDE w:val="0"/>
        <w:autoSpaceDN w:val="0"/>
        <w:adjustRightInd w:val="0"/>
        <w:spacing w:after="0" w:line="240" w:lineRule="auto"/>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Conforme relatado no Parecer Único - PU nº </w:t>
      </w:r>
      <w:r>
        <w:rPr>
          <w:sz w:val="26"/>
          <w:szCs w:val="26"/>
        </w:rPr>
        <w:t>85609/2021</w:t>
      </w:r>
      <w:r>
        <w:rPr>
          <w:rFonts w:eastAsia="Times New Roman" w:cstheme="minorHAnsi"/>
          <w:color w:val="000000"/>
          <w:sz w:val="26"/>
          <w:szCs w:val="26"/>
          <w:lang w:eastAsia="pt-BR"/>
        </w:rPr>
        <w:t xml:space="preserve"> do licenciamento ambiental  Licença de Operação Corretiva - (LOC) LAC2, o empreendimento minerário  </w:t>
      </w:r>
      <w:r>
        <w:rPr>
          <w:rFonts w:eastAsia="Times New Roman" w:cstheme="minorHAnsi"/>
          <w:b/>
          <w:color w:val="000000"/>
          <w:sz w:val="26"/>
          <w:szCs w:val="26"/>
          <w:lang w:eastAsia="pt-BR"/>
        </w:rPr>
        <w:t>Bellas Pedras Comércio e Extração Ltda e Antônio Francisco da Silva e Cia Ltda</w:t>
      </w:r>
      <w:r>
        <w:rPr>
          <w:rFonts w:eastAsia="Times New Roman" w:cstheme="minorHAnsi"/>
          <w:color w:val="000000"/>
          <w:sz w:val="26"/>
          <w:szCs w:val="26"/>
          <w:lang w:eastAsia="pt-BR"/>
        </w:rPr>
        <w:t xml:space="preserve"> está localizado na zona rural município de São Thomé das Letras e parte em Luminárias – MG, na localidade denominada Serra Pico do Gavião.</w:t>
      </w:r>
    </w:p>
    <w:p w14:paraId="2EBD0AE4" w14:textId="77777777" w:rsidR="006917C0" w:rsidRDefault="006917C0">
      <w:pPr>
        <w:autoSpaceDE w:val="0"/>
        <w:autoSpaceDN w:val="0"/>
        <w:adjustRightInd w:val="0"/>
        <w:spacing w:after="0" w:line="240" w:lineRule="auto"/>
        <w:jc w:val="both"/>
        <w:rPr>
          <w:rFonts w:eastAsia="Times New Roman" w:cstheme="minorHAnsi"/>
          <w:color w:val="000000"/>
          <w:sz w:val="26"/>
          <w:szCs w:val="26"/>
          <w:lang w:eastAsia="pt-BR"/>
        </w:rPr>
      </w:pPr>
    </w:p>
    <w:p w14:paraId="2557A2D9" w14:textId="77777777" w:rsidR="006917C0" w:rsidRDefault="006C5ED1">
      <w:pPr>
        <w:autoSpaceDE w:val="0"/>
        <w:autoSpaceDN w:val="0"/>
        <w:adjustRightInd w:val="0"/>
        <w:spacing w:after="0" w:line="240" w:lineRule="auto"/>
        <w:jc w:val="both"/>
        <w:rPr>
          <w:rFonts w:eastAsia="Times New Roman" w:cstheme="minorHAnsi"/>
          <w:color w:val="000000"/>
          <w:sz w:val="26"/>
          <w:szCs w:val="26"/>
          <w:lang w:eastAsia="pt-BR"/>
        </w:rPr>
      </w:pPr>
      <w:r>
        <w:rPr>
          <w:rFonts w:eastAsia="Times New Roman" w:cstheme="minorHAnsi"/>
          <w:color w:val="000000"/>
          <w:sz w:val="26"/>
          <w:szCs w:val="26"/>
          <w:lang w:eastAsia="pt-BR"/>
        </w:rPr>
        <w:lastRenderedPageBreak/>
        <w:t>O referido parecer informa que foi realizada a unificação dos 2 (dois) empreendimentos  na respectiva licença,</w:t>
      </w:r>
      <w:r>
        <w:rPr>
          <w:rFonts w:ascii="Arial" w:hAnsi="Arial" w:cs="Arial"/>
          <w:sz w:val="24"/>
          <w:szCs w:val="24"/>
          <w:lang w:eastAsia="pt-BR"/>
        </w:rPr>
        <w:t xml:space="preserve"> </w:t>
      </w:r>
      <w:r>
        <w:rPr>
          <w:rFonts w:eastAsia="Times New Roman" w:cstheme="minorHAnsi"/>
          <w:color w:val="000000"/>
          <w:sz w:val="26"/>
          <w:szCs w:val="26"/>
          <w:lang w:eastAsia="pt-BR"/>
        </w:rPr>
        <w:t>por se tratarem de empreendimentos em áreas contíguas, com atividades interdependentes, onde contemplou a soma da produção bruta das atividades de lavra e da área útil das pilhas de rejeito/estéril de ambos. O empreendimento efetuou a regularização em 05 (cinco) poligonais ANM: 832.040/1997, 830.310/2013, 832.689/2001, 833.915/2011 e 835.542/1993, abrange não só o município de São Thomé das Letras, mas uma pequena parte no município de Luminárias.</w:t>
      </w:r>
    </w:p>
    <w:p w14:paraId="2E0F2664" w14:textId="77777777" w:rsidR="006917C0" w:rsidRDefault="006917C0">
      <w:pPr>
        <w:autoSpaceDE w:val="0"/>
        <w:autoSpaceDN w:val="0"/>
        <w:adjustRightInd w:val="0"/>
        <w:spacing w:after="0" w:line="240" w:lineRule="auto"/>
        <w:jc w:val="both"/>
        <w:rPr>
          <w:rFonts w:eastAsia="Times New Roman" w:cstheme="minorHAnsi"/>
          <w:color w:val="000000"/>
          <w:sz w:val="26"/>
          <w:szCs w:val="26"/>
          <w:lang w:eastAsia="pt-BR"/>
        </w:rPr>
      </w:pPr>
    </w:p>
    <w:p w14:paraId="16408FB7" w14:textId="77777777" w:rsidR="006917C0" w:rsidRDefault="006C5ED1">
      <w:pPr>
        <w:autoSpaceDE w:val="0"/>
        <w:autoSpaceDN w:val="0"/>
        <w:adjustRightInd w:val="0"/>
        <w:spacing w:after="0" w:line="240" w:lineRule="auto"/>
        <w:jc w:val="both"/>
        <w:rPr>
          <w:rFonts w:eastAsia="Times New Roman" w:cstheme="minorHAnsi"/>
          <w:color w:val="000000"/>
          <w:sz w:val="26"/>
          <w:szCs w:val="26"/>
          <w:lang w:eastAsia="pt-BR"/>
        </w:rPr>
      </w:pPr>
      <w:r>
        <w:rPr>
          <w:rFonts w:eastAsia="Times New Roman" w:cstheme="minorHAnsi"/>
          <w:color w:val="000000"/>
          <w:sz w:val="26"/>
          <w:szCs w:val="26"/>
          <w:lang w:eastAsia="pt-BR"/>
        </w:rPr>
        <w:t>Conforme EIA/RIMA apresentado no processo de licenciamento, a exploração se dá em áreas acobertadas pelos processos ANM 832.040/1997 e 830.310/2013.</w:t>
      </w:r>
    </w:p>
    <w:p w14:paraId="45D61A99" w14:textId="77777777" w:rsidR="006917C0" w:rsidRDefault="006917C0">
      <w:pPr>
        <w:autoSpaceDE w:val="0"/>
        <w:autoSpaceDN w:val="0"/>
        <w:adjustRightInd w:val="0"/>
        <w:spacing w:after="0" w:line="240" w:lineRule="auto"/>
        <w:jc w:val="both"/>
        <w:rPr>
          <w:rFonts w:eastAsia="Times New Roman" w:cstheme="minorHAnsi"/>
          <w:color w:val="000000"/>
          <w:sz w:val="26"/>
          <w:szCs w:val="26"/>
          <w:lang w:eastAsia="pt-BR"/>
        </w:rPr>
      </w:pPr>
    </w:p>
    <w:p w14:paraId="41C7457C" w14:textId="77777777" w:rsidR="006917C0" w:rsidRDefault="006C5ED1">
      <w:pPr>
        <w:spacing w:before="120" w:after="120" w:line="240" w:lineRule="auto"/>
        <w:ind w:right="120"/>
        <w:jc w:val="both"/>
        <w:rPr>
          <w:rFonts w:eastAsia="Times New Roman" w:cstheme="minorHAnsi"/>
          <w:color w:val="000000"/>
          <w:sz w:val="26"/>
          <w:szCs w:val="26"/>
          <w:highlight w:val="yellow"/>
          <w:lang w:eastAsia="pt-BR"/>
        </w:rPr>
      </w:pPr>
      <w:r>
        <w:rPr>
          <w:rFonts w:eastAsia="Times New Roman" w:cstheme="minorHAnsi"/>
          <w:noProof/>
          <w:color w:val="000000"/>
          <w:sz w:val="26"/>
          <w:szCs w:val="26"/>
          <w:lang w:eastAsia="pt-BR"/>
        </w:rPr>
        <w:drawing>
          <wp:inline distT="0" distB="0" distL="0" distR="0" wp14:anchorId="14CF93EE" wp14:editId="7A6ABC64">
            <wp:extent cx="5400040" cy="3204845"/>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5400040" cy="3205159"/>
                    </a:xfrm>
                    <a:prstGeom prst="rect">
                      <a:avLst/>
                    </a:prstGeom>
                    <a:noFill/>
                    <a:ln>
                      <a:noFill/>
                    </a:ln>
                  </pic:spPr>
                </pic:pic>
              </a:graphicData>
            </a:graphic>
          </wp:inline>
        </w:drawing>
      </w:r>
    </w:p>
    <w:p w14:paraId="14C18116" w14:textId="77777777" w:rsidR="006917C0" w:rsidRDefault="006C5ED1">
      <w:pPr>
        <w:spacing w:after="0" w:line="240" w:lineRule="auto"/>
        <w:rPr>
          <w:lang w:eastAsia="pt-BR"/>
        </w:rPr>
      </w:pPr>
      <w:r>
        <w:rPr>
          <w:lang w:eastAsia="pt-BR"/>
        </w:rPr>
        <w:t>Imagem 1: Localização do empreendimento Bellas Pedras e Antônio Francisco da Silva com as</w:t>
      </w:r>
    </w:p>
    <w:p w14:paraId="5E81F711" w14:textId="77777777" w:rsidR="006917C0" w:rsidRDefault="006C5ED1">
      <w:pPr>
        <w:spacing w:after="0" w:line="240" w:lineRule="auto"/>
        <w:rPr>
          <w:lang w:eastAsia="pt-BR"/>
        </w:rPr>
      </w:pPr>
      <w:r>
        <w:rPr>
          <w:lang w:eastAsia="pt-BR"/>
        </w:rPr>
        <w:t>respectivas poligonais ANM</w:t>
      </w:r>
    </w:p>
    <w:p w14:paraId="3AF02B5B" w14:textId="77777777" w:rsidR="006917C0" w:rsidRDefault="006917C0">
      <w:pPr>
        <w:autoSpaceDE w:val="0"/>
        <w:autoSpaceDN w:val="0"/>
        <w:adjustRightInd w:val="0"/>
        <w:spacing w:after="0" w:line="240" w:lineRule="auto"/>
        <w:jc w:val="both"/>
        <w:rPr>
          <w:rFonts w:eastAsia="Times New Roman" w:cstheme="minorHAnsi"/>
          <w:color w:val="000000"/>
          <w:sz w:val="26"/>
          <w:szCs w:val="26"/>
          <w:lang w:eastAsia="pt-BR"/>
        </w:rPr>
      </w:pPr>
    </w:p>
    <w:p w14:paraId="2ABC1648" w14:textId="77777777" w:rsidR="006917C0" w:rsidRDefault="006C5ED1">
      <w:pPr>
        <w:autoSpaceDE w:val="0"/>
        <w:autoSpaceDN w:val="0"/>
        <w:adjustRightInd w:val="0"/>
        <w:spacing w:after="0" w:line="240" w:lineRule="auto"/>
        <w:jc w:val="both"/>
        <w:rPr>
          <w:rFonts w:eastAsia="Times New Roman" w:cstheme="minorHAnsi"/>
          <w:color w:val="000000"/>
          <w:sz w:val="26"/>
          <w:szCs w:val="26"/>
          <w:lang w:eastAsia="pt-BR"/>
        </w:rPr>
      </w:pPr>
      <w:r>
        <w:rPr>
          <w:rFonts w:eastAsia="Times New Roman" w:cstheme="minorHAnsi"/>
          <w:color w:val="000000"/>
          <w:sz w:val="26"/>
          <w:szCs w:val="26"/>
          <w:lang w:eastAsia="pt-BR"/>
        </w:rPr>
        <w:t>Quando ao PRAD apresentado no EIA/RIMA, citado no referido parecer, o mesmo informa que o empreendimento tem experiência e vem tendo muito sucesso nas ações de reabilitação ambiental. Os dois empreendimentos que forma objeto de regularização na licença concedida, já realizaram a reabilitação de uma área de responsabilidade do Exército, onde existiam diversas pilhas de estéril e rejeito antiga e cavas abandonadas.</w:t>
      </w:r>
    </w:p>
    <w:p w14:paraId="0CAF81EE" w14:textId="77777777" w:rsidR="006917C0" w:rsidRDefault="006917C0">
      <w:pPr>
        <w:autoSpaceDE w:val="0"/>
        <w:autoSpaceDN w:val="0"/>
        <w:adjustRightInd w:val="0"/>
        <w:spacing w:after="0" w:line="240" w:lineRule="auto"/>
        <w:rPr>
          <w:rFonts w:eastAsia="Times New Roman" w:cstheme="minorHAnsi"/>
          <w:color w:val="000000"/>
          <w:sz w:val="26"/>
          <w:szCs w:val="26"/>
          <w:highlight w:val="yellow"/>
          <w:lang w:eastAsia="pt-BR"/>
        </w:rPr>
      </w:pPr>
    </w:p>
    <w:p w14:paraId="44183CA9" w14:textId="77777777" w:rsidR="006917C0" w:rsidRDefault="006C5ED1">
      <w:pPr>
        <w:autoSpaceDE w:val="0"/>
        <w:autoSpaceDN w:val="0"/>
        <w:adjustRightInd w:val="0"/>
        <w:spacing w:after="0" w:line="240" w:lineRule="auto"/>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O empreendimento realizou intervenção anterior a 17/10/2013, atualmente com área de 30,7229ha, sendo proposta a compensação referente ao §2º do art 75 da Lei Estadual 20.922/2013 e regularizou na ferida licença 2,9787ha, através de Autorização para Intervenção Ambiental - </w:t>
      </w:r>
      <w:r>
        <w:rPr>
          <w:rFonts w:ascii="Arial" w:hAnsi="Arial" w:cs="Arial"/>
          <w:sz w:val="24"/>
          <w:szCs w:val="24"/>
          <w:lang w:eastAsia="pt-BR"/>
        </w:rPr>
        <w:t xml:space="preserve">AIA Corretiva, referente ao </w:t>
      </w:r>
      <w:r>
        <w:rPr>
          <w:rFonts w:eastAsia="Times New Roman" w:cstheme="minorHAnsi"/>
          <w:color w:val="000000"/>
          <w:sz w:val="26"/>
          <w:szCs w:val="26"/>
          <w:lang w:eastAsia="pt-BR"/>
        </w:rPr>
        <w:t>§1º do mesmo artigo, totalizando 33,7016ha.</w:t>
      </w:r>
    </w:p>
    <w:p w14:paraId="70DBF7E2" w14:textId="77777777" w:rsidR="006917C0" w:rsidRDefault="006917C0">
      <w:pPr>
        <w:spacing w:before="120" w:after="120" w:line="240" w:lineRule="auto"/>
        <w:ind w:right="120"/>
        <w:jc w:val="both"/>
        <w:rPr>
          <w:rFonts w:eastAsia="Times New Roman" w:cstheme="minorHAnsi"/>
          <w:color w:val="000000"/>
          <w:sz w:val="26"/>
          <w:szCs w:val="26"/>
          <w:highlight w:val="yellow"/>
          <w:lang w:eastAsia="pt-BR"/>
        </w:rPr>
      </w:pPr>
    </w:p>
    <w:p w14:paraId="41C186CC" w14:textId="77777777" w:rsidR="006917C0" w:rsidRDefault="006C5ED1">
      <w:pPr>
        <w:spacing w:before="120" w:after="120" w:line="240" w:lineRule="auto"/>
        <w:ind w:right="120"/>
        <w:jc w:val="both"/>
        <w:rPr>
          <w:rFonts w:eastAsia="Times New Roman" w:cstheme="minorHAnsi"/>
          <w:color w:val="000000"/>
          <w:sz w:val="26"/>
          <w:szCs w:val="26"/>
          <w:highlight w:val="yellow"/>
          <w:lang w:eastAsia="pt-BR"/>
        </w:rPr>
      </w:pPr>
      <w:r>
        <w:rPr>
          <w:rFonts w:eastAsia="Times New Roman" w:cstheme="minorHAnsi"/>
          <w:noProof/>
          <w:color w:val="000000"/>
          <w:sz w:val="26"/>
          <w:szCs w:val="26"/>
          <w:lang w:eastAsia="pt-BR"/>
        </w:rPr>
        <w:drawing>
          <wp:inline distT="0" distB="0" distL="0" distR="0" wp14:anchorId="6BCA4B9A" wp14:editId="4AC335C7">
            <wp:extent cx="5400040" cy="2909570"/>
            <wp:effectExtent l="0" t="0" r="0" b="508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m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5400040" cy="2910147"/>
                    </a:xfrm>
                    <a:prstGeom prst="rect">
                      <a:avLst/>
                    </a:prstGeom>
                    <a:noFill/>
                    <a:ln>
                      <a:noFill/>
                    </a:ln>
                  </pic:spPr>
                </pic:pic>
              </a:graphicData>
            </a:graphic>
          </wp:inline>
        </w:drawing>
      </w:r>
    </w:p>
    <w:p w14:paraId="385D16F4" w14:textId="77777777" w:rsidR="006917C0" w:rsidRDefault="006C5ED1">
      <w:pPr>
        <w:spacing w:after="0" w:line="240" w:lineRule="auto"/>
        <w:rPr>
          <w:lang w:eastAsia="pt-BR"/>
        </w:rPr>
      </w:pPr>
      <w:r>
        <w:rPr>
          <w:lang w:eastAsia="pt-BR"/>
        </w:rPr>
        <w:t>Imagem 2: Áreas da propri</w:t>
      </w:r>
      <w:r w:rsidR="003844E8">
        <w:rPr>
          <w:lang w:eastAsia="pt-BR"/>
        </w:rPr>
        <w:t>edade (matrículas 21.825 e 20.98</w:t>
      </w:r>
      <w:r>
        <w:rPr>
          <w:lang w:eastAsia="pt-BR"/>
        </w:rPr>
        <w:t>6), respectivos poligonais DNPM (ANM) e a ADA identificada do empreendimento, em roxo (33,7016ha).</w:t>
      </w:r>
    </w:p>
    <w:p w14:paraId="6646561F" w14:textId="77777777" w:rsidR="006917C0" w:rsidRDefault="006917C0">
      <w:pPr>
        <w:spacing w:before="120" w:after="120" w:line="240" w:lineRule="auto"/>
        <w:ind w:right="120"/>
        <w:jc w:val="both"/>
        <w:rPr>
          <w:rFonts w:eastAsia="Times New Roman" w:cstheme="minorHAnsi"/>
          <w:color w:val="000000"/>
          <w:sz w:val="26"/>
          <w:szCs w:val="26"/>
          <w:highlight w:val="yellow"/>
          <w:lang w:eastAsia="pt-BR"/>
        </w:rPr>
      </w:pPr>
    </w:p>
    <w:p w14:paraId="3362C80B" w14:textId="77777777" w:rsidR="006917C0" w:rsidRDefault="006C5ED1">
      <w:pPr>
        <w:spacing w:before="120" w:after="120" w:line="240" w:lineRule="auto"/>
        <w:ind w:right="120"/>
        <w:jc w:val="both"/>
        <w:rPr>
          <w:rFonts w:eastAsia="Times New Roman" w:cstheme="minorHAnsi"/>
          <w:color w:val="000000"/>
          <w:sz w:val="26"/>
          <w:szCs w:val="26"/>
          <w:highlight w:val="yellow"/>
          <w:lang w:eastAsia="pt-BR"/>
        </w:rPr>
      </w:pPr>
      <w:r>
        <w:rPr>
          <w:rFonts w:eastAsia="Times New Roman" w:cstheme="minorHAnsi"/>
          <w:color w:val="000000"/>
          <w:sz w:val="26"/>
          <w:szCs w:val="26"/>
          <w:lang w:eastAsia="pt-BR"/>
        </w:rPr>
        <w:t xml:space="preserve">Em 23 de dezembro de 2021, o empreendedor protocolou documentação para proposta de compensação minerária, nos termos do Art. 75 da Lei nº 20.922/2013, Portaria IEF n° 27/2017, via SEI, número </w:t>
      </w:r>
      <w:r>
        <w:rPr>
          <w:rFonts w:eastAsia="Times New Roman" w:cstheme="minorHAnsi"/>
          <w:b/>
          <w:color w:val="000000"/>
          <w:sz w:val="26"/>
          <w:szCs w:val="26"/>
          <w:lang w:eastAsia="pt-BR"/>
        </w:rPr>
        <w:t>2100.01.0078875/2021-22</w:t>
      </w:r>
      <w:r>
        <w:rPr>
          <w:rFonts w:eastAsia="Times New Roman" w:cstheme="minorHAnsi"/>
          <w:color w:val="000000"/>
          <w:sz w:val="26"/>
          <w:szCs w:val="26"/>
          <w:lang w:eastAsia="pt-BR"/>
        </w:rPr>
        <w:t>,</w:t>
      </w:r>
      <w:r>
        <w:rPr>
          <w:rFonts w:ascii="Calibri" w:eastAsia="SimSun" w:hAnsi="Calibri" w:cs="Calibri"/>
          <w:b/>
          <w:sz w:val="26"/>
          <w:szCs w:val="26"/>
        </w:rPr>
        <w:t xml:space="preserve"> </w:t>
      </w:r>
      <w:r>
        <w:rPr>
          <w:rFonts w:eastAsia="Times New Roman" w:cstheme="minorHAnsi"/>
          <w:color w:val="000000"/>
          <w:sz w:val="26"/>
          <w:szCs w:val="26"/>
          <w:lang w:eastAsia="pt-BR"/>
        </w:rPr>
        <w:t>encaminhado à Gerência de Compensação Ambiental e Regularização Fundiária – GCARF, sendo encaminhado à URFio Sul e recebido neste Núcleo de Biodiversidade em 05/01/22 para a análise prévia, onde foi constatado a ausência de algumas informações necessárias para formalização, conforme check-list, sendo então solicitados através do Ofício IEF/URFBIO SUL - NUBIO nº. 6/2022 em 07/02/22, rapidamente foram protocoladas via SEI as informações necessárias, sendo então declarado a formalização do processo já em 09/02/2022.</w:t>
      </w:r>
    </w:p>
    <w:p w14:paraId="6FA10D3C" w14:textId="77777777" w:rsidR="006917C0" w:rsidRDefault="006C5ED1">
      <w:pPr>
        <w:spacing w:before="120" w:after="120" w:line="240" w:lineRule="auto"/>
        <w:ind w:right="120"/>
        <w:jc w:val="both"/>
        <w:rPr>
          <w:rFonts w:eastAsia="Times New Roman" w:cstheme="minorHAnsi"/>
          <w:b/>
          <w:color w:val="000000"/>
          <w:sz w:val="26"/>
          <w:szCs w:val="26"/>
          <w:lang w:eastAsia="pt-BR"/>
        </w:rPr>
      </w:pPr>
      <w:r>
        <w:rPr>
          <w:rFonts w:ascii="Calibri" w:eastAsia="SimSun" w:hAnsi="Calibri" w:cs="Calibri"/>
          <w:sz w:val="26"/>
          <w:szCs w:val="26"/>
        </w:rPr>
        <w:t>Conforme estudos apresentados, a área proposta para a compensação florestal minerária é equivalente a ADA atual do empreendimento</w:t>
      </w:r>
      <w:r>
        <w:rPr>
          <w:rFonts w:eastAsia="Times New Roman" w:cstheme="minorHAnsi"/>
          <w:b/>
          <w:color w:val="000000"/>
          <w:sz w:val="26"/>
          <w:szCs w:val="26"/>
          <w:lang w:eastAsia="pt-BR"/>
        </w:rPr>
        <w:t xml:space="preserve">, </w:t>
      </w:r>
      <w:r>
        <w:rPr>
          <w:rFonts w:ascii="Calibri" w:eastAsia="SimSun" w:hAnsi="Calibri" w:cs="Calibri"/>
          <w:sz w:val="26"/>
          <w:szCs w:val="26"/>
        </w:rPr>
        <w:t xml:space="preserve">sendo uma área total de </w:t>
      </w:r>
      <w:r>
        <w:rPr>
          <w:rFonts w:eastAsia="Times New Roman" w:cstheme="minorHAnsi"/>
          <w:b/>
          <w:color w:val="000000"/>
          <w:sz w:val="26"/>
          <w:szCs w:val="26"/>
          <w:lang w:eastAsia="pt-BR"/>
        </w:rPr>
        <w:t>33,7016ha</w:t>
      </w:r>
      <w:r>
        <w:rPr>
          <w:rFonts w:ascii="Calibri" w:eastAsia="SimSun" w:hAnsi="Calibri" w:cs="Calibri"/>
          <w:sz w:val="26"/>
          <w:szCs w:val="26"/>
        </w:rPr>
        <w:t xml:space="preserve">, sendo efetivamente proposta para doação </w:t>
      </w:r>
      <w:r>
        <w:rPr>
          <w:rFonts w:eastAsia="Times New Roman" w:cstheme="minorHAnsi"/>
          <w:b/>
          <w:color w:val="000000"/>
          <w:sz w:val="26"/>
          <w:szCs w:val="26"/>
          <w:lang w:eastAsia="pt-BR"/>
        </w:rPr>
        <w:t>33,7468ha.</w:t>
      </w:r>
    </w:p>
    <w:p w14:paraId="10859C54" w14:textId="77777777" w:rsidR="006917C0" w:rsidRDefault="006C5ED1">
      <w:pPr>
        <w:spacing w:before="120" w:after="120" w:line="240" w:lineRule="auto"/>
        <w:ind w:right="120"/>
        <w:jc w:val="both"/>
        <w:rPr>
          <w:rFonts w:eastAsia="Times New Roman" w:cstheme="minorHAnsi"/>
          <w:color w:val="000000"/>
          <w:sz w:val="26"/>
          <w:szCs w:val="26"/>
          <w:highlight w:val="yellow"/>
          <w:lang w:eastAsia="pt-BR"/>
        </w:rPr>
      </w:pPr>
      <w:r>
        <w:rPr>
          <w:noProof/>
          <w:lang w:eastAsia="pt-BR"/>
        </w:rPr>
        <w:lastRenderedPageBreak/>
        <w:drawing>
          <wp:inline distT="0" distB="0" distL="0" distR="0" wp14:anchorId="3DF2DD3F" wp14:editId="291E9E71">
            <wp:extent cx="5400040" cy="3037205"/>
            <wp:effectExtent l="0" t="0" r="0" b="0"/>
            <wp:docPr id="9" name="Imagem 9"/>
            <wp:cNvGraphicFramePr/>
            <a:graphic xmlns:a="http://schemas.openxmlformats.org/drawingml/2006/main">
              <a:graphicData uri="http://schemas.openxmlformats.org/drawingml/2006/picture">
                <pic:pic xmlns:pic="http://schemas.openxmlformats.org/drawingml/2006/picture">
                  <pic:nvPicPr>
                    <pic:cNvPr id="9" name="Imagem 9"/>
                    <pic:cNvPicPr/>
                  </pic:nvPicPr>
                  <pic:blipFill>
                    <a:blip r:embed="rId9"/>
                    <a:stretch>
                      <a:fillRect/>
                    </a:stretch>
                  </pic:blipFill>
                  <pic:spPr>
                    <a:xfrm>
                      <a:off x="0" y="0"/>
                      <a:ext cx="5400040" cy="3037205"/>
                    </a:xfrm>
                    <a:prstGeom prst="rect">
                      <a:avLst/>
                    </a:prstGeom>
                  </pic:spPr>
                </pic:pic>
              </a:graphicData>
            </a:graphic>
          </wp:inline>
        </w:drawing>
      </w:r>
    </w:p>
    <w:p w14:paraId="70CAFAC9" w14:textId="77777777" w:rsidR="006917C0" w:rsidRDefault="006C5ED1">
      <w:pPr>
        <w:spacing w:after="0" w:line="240" w:lineRule="auto"/>
        <w:rPr>
          <w:lang w:eastAsia="pt-BR"/>
        </w:rPr>
      </w:pPr>
      <w:r>
        <w:rPr>
          <w:lang w:eastAsia="pt-BR"/>
        </w:rPr>
        <w:t>Imagem 3 (IDE): Área da ADA informada (limites em azul).</w:t>
      </w:r>
    </w:p>
    <w:p w14:paraId="3603DAAB" w14:textId="77777777" w:rsidR="006917C0" w:rsidRDefault="006917C0">
      <w:pPr>
        <w:spacing w:before="120" w:after="120" w:line="240" w:lineRule="auto"/>
        <w:ind w:right="120"/>
        <w:jc w:val="both"/>
        <w:rPr>
          <w:rFonts w:ascii="Calibri" w:eastAsia="SimSun" w:hAnsi="Calibri" w:cs="Calibri"/>
          <w:sz w:val="26"/>
          <w:szCs w:val="26"/>
          <w:highlight w:val="yellow"/>
        </w:rPr>
      </w:pPr>
    </w:p>
    <w:p w14:paraId="4CE8B075"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Portanto neste processo de compensação ambiental florestal minerária, estão sendo tratadas as duas regularizações, até o momento atual: </w:t>
      </w:r>
    </w:p>
    <w:p w14:paraId="15C64648" w14:textId="77777777" w:rsidR="006917C0" w:rsidRDefault="006C5ED1">
      <w:pPr>
        <w:spacing w:before="120" w:after="120" w:line="240" w:lineRule="auto"/>
        <w:ind w:right="120" w:firstLine="708"/>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A regularização das áreas de supressão após 17/10/2013, referente ao </w:t>
      </w:r>
      <w:r>
        <w:rPr>
          <w:rFonts w:eastAsia="Times New Roman" w:cstheme="minorHAnsi"/>
          <w:b/>
          <w:color w:val="000000"/>
          <w:sz w:val="26"/>
          <w:szCs w:val="26"/>
          <w:lang w:eastAsia="pt-BR"/>
        </w:rPr>
        <w:t>§1º do art. 75 da Lei n° 20.922 de 2013</w:t>
      </w:r>
      <w:r>
        <w:rPr>
          <w:rFonts w:eastAsia="Times New Roman" w:cstheme="minorHAnsi"/>
          <w:color w:val="000000"/>
          <w:sz w:val="26"/>
          <w:szCs w:val="26"/>
          <w:lang w:eastAsia="pt-BR"/>
        </w:rPr>
        <w:t xml:space="preserve"> até a presente data, sendo uma área de 2,9787ha com supressão de vegetação nativa (área já utilizada no momento da regularização) através da licença ambiental, conforme PU do licenciamento.</w:t>
      </w:r>
    </w:p>
    <w:p w14:paraId="72830076" w14:textId="77777777" w:rsidR="006917C0" w:rsidRDefault="006C5ED1">
      <w:pPr>
        <w:spacing w:before="120" w:after="120" w:line="240" w:lineRule="auto"/>
        <w:ind w:right="120" w:firstLine="708"/>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Também é tratada aqui, a regularização da parte do empreendimento a que se refere ao </w:t>
      </w:r>
      <w:r>
        <w:rPr>
          <w:rFonts w:eastAsia="Times New Roman" w:cstheme="minorHAnsi"/>
          <w:b/>
          <w:color w:val="000000"/>
          <w:sz w:val="26"/>
          <w:szCs w:val="26"/>
          <w:lang w:eastAsia="pt-BR"/>
        </w:rPr>
        <w:t>§2º do art. 75 da Lei n° 20.922 de 2013</w:t>
      </w:r>
      <w:r>
        <w:rPr>
          <w:rFonts w:eastAsia="Times New Roman" w:cstheme="minorHAnsi"/>
          <w:color w:val="000000"/>
          <w:sz w:val="26"/>
          <w:szCs w:val="26"/>
          <w:lang w:eastAsia="pt-BR"/>
        </w:rPr>
        <w:t>, para uma área calculada em 30,7229ha, totalizando</w:t>
      </w:r>
      <w:r>
        <w:rPr>
          <w:rFonts w:eastAsia="Times New Roman" w:cstheme="minorHAnsi"/>
          <w:b/>
          <w:color w:val="000000"/>
          <w:sz w:val="26"/>
          <w:szCs w:val="26"/>
          <w:lang w:eastAsia="pt-BR"/>
        </w:rPr>
        <w:t xml:space="preserve"> 33,7016ha</w:t>
      </w:r>
      <w:r>
        <w:rPr>
          <w:rFonts w:eastAsia="Times New Roman" w:cstheme="minorHAnsi"/>
          <w:color w:val="000000"/>
          <w:sz w:val="26"/>
          <w:szCs w:val="26"/>
          <w:lang w:eastAsia="pt-BR"/>
        </w:rPr>
        <w:t>, que completa a área diretamente afetada ADA, sendo a área total utilizada na atualidade, conforme informado.</w:t>
      </w:r>
    </w:p>
    <w:p w14:paraId="26B59393" w14:textId="77777777" w:rsidR="006917C0" w:rsidRDefault="006917C0">
      <w:pPr>
        <w:spacing w:before="120" w:after="0" w:line="240" w:lineRule="auto"/>
        <w:ind w:right="119"/>
        <w:jc w:val="both"/>
        <w:rPr>
          <w:rFonts w:eastAsia="Times New Roman" w:cstheme="minorHAnsi"/>
          <w:color w:val="000000"/>
          <w:sz w:val="26"/>
          <w:szCs w:val="26"/>
          <w:highlight w:val="yellow"/>
          <w:lang w:eastAsia="pt-BR"/>
        </w:rPr>
      </w:pPr>
    </w:p>
    <w:p w14:paraId="1EEB26AD" w14:textId="77777777" w:rsidR="006917C0" w:rsidRDefault="006C5ED1">
      <w:pPr>
        <w:shd w:val="clear" w:color="auto" w:fill="E6E6E6"/>
        <w:spacing w:before="120" w:after="120" w:line="240" w:lineRule="auto"/>
        <w:ind w:left="120" w:right="120"/>
        <w:jc w:val="both"/>
        <w:rPr>
          <w:rFonts w:eastAsia="Times New Roman" w:cstheme="minorHAnsi"/>
          <w:b/>
          <w:bCs/>
          <w:color w:val="000000"/>
          <w:sz w:val="26"/>
          <w:szCs w:val="26"/>
          <w:lang w:eastAsia="pt-BR"/>
        </w:rPr>
      </w:pPr>
      <w:r>
        <w:rPr>
          <w:rFonts w:eastAsia="Times New Roman" w:cstheme="minorHAnsi"/>
          <w:b/>
          <w:bCs/>
          <w:color w:val="000000"/>
          <w:sz w:val="26"/>
          <w:szCs w:val="26"/>
          <w:lang w:eastAsia="pt-BR"/>
        </w:rPr>
        <w:t>4 - IDENTIFICAÇÃO DA MEDIDA COMPENSATÓRIA - PROPOSTA APRESENTADA</w:t>
      </w:r>
    </w:p>
    <w:p w14:paraId="3E377E22" w14:textId="77777777" w:rsidR="006917C0" w:rsidRDefault="006917C0">
      <w:pPr>
        <w:spacing w:before="120" w:after="120" w:line="240" w:lineRule="auto"/>
        <w:ind w:right="120"/>
        <w:jc w:val="both"/>
        <w:rPr>
          <w:rFonts w:eastAsia="Times New Roman" w:cstheme="minorHAnsi"/>
          <w:color w:val="000000"/>
          <w:sz w:val="26"/>
          <w:szCs w:val="26"/>
          <w:highlight w:val="yellow"/>
          <w:lang w:eastAsia="pt-BR"/>
        </w:rPr>
      </w:pPr>
    </w:p>
    <w:p w14:paraId="71EEBC89"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A proposta apresentada é a doação de uma área com </w:t>
      </w:r>
      <w:r>
        <w:rPr>
          <w:rFonts w:eastAsia="Times New Roman" w:cstheme="minorHAnsi"/>
          <w:b/>
          <w:color w:val="000000"/>
          <w:sz w:val="26"/>
          <w:szCs w:val="26"/>
          <w:lang w:eastAsia="pt-BR"/>
        </w:rPr>
        <w:t>33,7468ha</w:t>
      </w:r>
      <w:r>
        <w:rPr>
          <w:rFonts w:ascii="Arial" w:hAnsi="Arial" w:cs="Arial"/>
          <w:b/>
          <w:bCs/>
        </w:rPr>
        <w:t>,</w:t>
      </w:r>
      <w:r>
        <w:rPr>
          <w:rFonts w:eastAsia="Times New Roman" w:cstheme="minorHAnsi"/>
          <w:color w:val="000000"/>
          <w:sz w:val="26"/>
          <w:szCs w:val="26"/>
          <w:lang w:eastAsia="pt-BR"/>
        </w:rPr>
        <w:t xml:space="preserve"> localizada no interior de Unidade de Conservação de Proteção Integral pendente de regularização fundiária para consequente doação ao Estado.</w:t>
      </w:r>
    </w:p>
    <w:p w14:paraId="6EC3B9F8"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Foi consultado à equipe de geoprocessamento da Gerência de Compensação Ambiental e Regularização Fundiária GCARF em BH, sendo que para a área proposta, não há nenhuma sobreposição com áreas já doadas/regularizadas em nome do IEF, estando apta ao prosseguimento do processo.</w:t>
      </w:r>
    </w:p>
    <w:p w14:paraId="65C25601" w14:textId="77777777" w:rsidR="006917C0" w:rsidRDefault="006917C0">
      <w:pPr>
        <w:spacing w:before="120" w:after="0" w:line="240" w:lineRule="auto"/>
        <w:ind w:right="119"/>
        <w:jc w:val="both"/>
        <w:rPr>
          <w:rFonts w:eastAsia="Times New Roman" w:cstheme="minorHAnsi"/>
          <w:color w:val="000000"/>
          <w:sz w:val="26"/>
          <w:szCs w:val="26"/>
          <w:highlight w:val="yellow"/>
          <w:lang w:eastAsia="pt-BR"/>
        </w:rPr>
      </w:pPr>
    </w:p>
    <w:p w14:paraId="6B6A4864" w14:textId="77777777" w:rsidR="006917C0" w:rsidRDefault="006C5ED1">
      <w:pPr>
        <w:spacing w:before="120" w:after="120" w:line="240" w:lineRule="auto"/>
        <w:ind w:right="120"/>
        <w:jc w:val="both"/>
        <w:rPr>
          <w:rFonts w:eastAsia="Times New Roman" w:cstheme="minorHAnsi"/>
          <w:color w:val="000000"/>
          <w:sz w:val="26"/>
          <w:szCs w:val="26"/>
          <w:highlight w:val="yellow"/>
          <w:lang w:eastAsia="pt-BR"/>
        </w:rPr>
      </w:pPr>
      <w:r>
        <w:rPr>
          <w:rFonts w:eastAsia="Times New Roman" w:cstheme="minorHAnsi"/>
          <w:color w:val="000000"/>
          <w:sz w:val="26"/>
          <w:szCs w:val="26"/>
          <w:lang w:eastAsia="pt-BR"/>
        </w:rPr>
        <w:lastRenderedPageBreak/>
        <w:t xml:space="preserve">A área proposta está localizada na propriedade denominada Capetinga, situada no município de Pouso Alto, registrada sob número 13.411, Livro 2, na Comarca de São Lourenço, inserida parcialmente dentro dos limites do Parque Estadual Serra do Papagaio - PESP, com área total de 85,9514 ha conforme certidão de registro apresentada, correspondendo a área de </w:t>
      </w:r>
      <w:r>
        <w:rPr>
          <w:rFonts w:eastAsia="Times New Roman" w:cstheme="minorHAnsi"/>
          <w:b/>
          <w:color w:val="000000"/>
          <w:sz w:val="26"/>
          <w:szCs w:val="26"/>
          <w:lang w:eastAsia="pt-BR"/>
        </w:rPr>
        <w:t>33,7468ha</w:t>
      </w:r>
      <w:r>
        <w:rPr>
          <w:rFonts w:eastAsia="Times New Roman" w:cstheme="minorHAnsi"/>
          <w:color w:val="000000"/>
          <w:sz w:val="26"/>
          <w:szCs w:val="26"/>
          <w:lang w:eastAsia="pt-BR"/>
        </w:rPr>
        <w:t xml:space="preserve"> dentro dos limites do PESP, , e memoriais descritivos, que se encontram nos autos do processo, juntamente com devida ART. </w:t>
      </w:r>
    </w:p>
    <w:p w14:paraId="676810F9" w14:textId="77777777" w:rsidR="006917C0" w:rsidRDefault="006917C0">
      <w:pPr>
        <w:spacing w:before="120" w:after="0" w:line="240" w:lineRule="auto"/>
        <w:ind w:right="119" w:firstLine="708"/>
        <w:jc w:val="both"/>
        <w:rPr>
          <w:rFonts w:eastAsia="Times New Roman" w:cstheme="minorHAnsi"/>
          <w:color w:val="000000"/>
          <w:sz w:val="26"/>
          <w:szCs w:val="26"/>
          <w:highlight w:val="yellow"/>
          <w:lang w:eastAsia="pt-BR"/>
        </w:rPr>
      </w:pPr>
    </w:p>
    <w:p w14:paraId="1E6008FC" w14:textId="77777777" w:rsidR="006917C0" w:rsidRDefault="006917C0">
      <w:pPr>
        <w:spacing w:after="0" w:line="240" w:lineRule="auto"/>
        <w:rPr>
          <w:highlight w:val="yellow"/>
          <w:lang w:eastAsia="pt-BR"/>
        </w:rPr>
      </w:pPr>
    </w:p>
    <w:p w14:paraId="65456DEE" w14:textId="77777777" w:rsidR="006917C0" w:rsidRDefault="006C5ED1">
      <w:pPr>
        <w:spacing w:after="0" w:line="240" w:lineRule="auto"/>
        <w:rPr>
          <w:highlight w:val="yellow"/>
          <w:lang w:eastAsia="pt-BR"/>
        </w:rPr>
      </w:pPr>
      <w:r>
        <w:rPr>
          <w:noProof/>
          <w:lang w:eastAsia="pt-BR"/>
        </w:rPr>
        <w:drawing>
          <wp:inline distT="0" distB="0" distL="0" distR="0" wp14:anchorId="16B125C0" wp14:editId="25020248">
            <wp:extent cx="5400040" cy="3275965"/>
            <wp:effectExtent l="0" t="0" r="0" b="635"/>
            <wp:docPr id="11" name="Imagem 11" descr="J:\Banco de Dados - NUBIO\COMPENSAÇÃO MINERÁRIA\Processos em análise 2022\Bellas Pedras e Antônio Francisco\Matr 13.4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m 11" descr="J:\Banco de Dados - NUBIO\COMPENSAÇÃO MINERÁRIA\Processos em análise 2022\Bellas Pedras e Antônio Francisco\Matr 13.41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5400040" cy="3276024"/>
                    </a:xfrm>
                    <a:prstGeom prst="rect">
                      <a:avLst/>
                    </a:prstGeom>
                    <a:noFill/>
                    <a:ln>
                      <a:noFill/>
                    </a:ln>
                  </pic:spPr>
                </pic:pic>
              </a:graphicData>
            </a:graphic>
          </wp:inline>
        </w:drawing>
      </w:r>
    </w:p>
    <w:p w14:paraId="3397411E" w14:textId="77777777" w:rsidR="006917C0" w:rsidRDefault="006C5ED1">
      <w:pPr>
        <w:spacing w:after="0" w:line="240" w:lineRule="auto"/>
        <w:rPr>
          <w:lang w:eastAsia="pt-BR"/>
        </w:rPr>
      </w:pPr>
      <w:r>
        <w:rPr>
          <w:lang w:eastAsia="pt-BR"/>
        </w:rPr>
        <w:t xml:space="preserve">Imagem 4: Área com o polígono em roxo, compreendendo a parte interna da </w:t>
      </w:r>
      <w:r>
        <w:t xml:space="preserve">PESP </w:t>
      </w:r>
      <w:r>
        <w:rPr>
          <w:lang w:eastAsia="pt-BR"/>
        </w:rPr>
        <w:t xml:space="preserve">e a área total da propriedade, onde mostra também a parte fora da PESP, </w:t>
      </w:r>
      <w:r>
        <w:t>e os  limites do PESP (linha em também em roxo)</w:t>
      </w:r>
      <w:r>
        <w:rPr>
          <w:lang w:eastAsia="pt-BR"/>
        </w:rPr>
        <w:t>.</w:t>
      </w:r>
    </w:p>
    <w:p w14:paraId="4CA9E6D4" w14:textId="77777777" w:rsidR="006917C0" w:rsidRDefault="006917C0">
      <w:pPr>
        <w:spacing w:after="0" w:line="240" w:lineRule="auto"/>
        <w:rPr>
          <w:highlight w:val="yellow"/>
          <w:lang w:eastAsia="pt-BR"/>
        </w:rPr>
      </w:pPr>
    </w:p>
    <w:p w14:paraId="2D091F12" w14:textId="77777777" w:rsidR="006917C0" w:rsidRDefault="006C5ED1">
      <w:pPr>
        <w:pStyle w:val="Default"/>
        <w:jc w:val="both"/>
        <w:rPr>
          <w:rFonts w:eastAsia="Times New Roman" w:cstheme="minorHAnsi"/>
          <w:sz w:val="26"/>
          <w:szCs w:val="26"/>
          <w:lang w:val="en-US" w:eastAsia="pt-BR"/>
        </w:rPr>
      </w:pPr>
      <w:r>
        <w:rPr>
          <w:rFonts w:eastAsia="Times New Roman" w:cstheme="minorHAnsi"/>
          <w:sz w:val="26"/>
          <w:szCs w:val="26"/>
          <w:lang w:eastAsia="pt-BR"/>
        </w:rPr>
        <w:t>Esta área se encontra em nome de Silvio de Souza Oliveira Filho,</w:t>
      </w:r>
      <w:r>
        <w:rPr>
          <w:rFonts w:eastAsia="Times New Roman" w:cstheme="minorHAnsi"/>
          <w:b/>
          <w:sz w:val="26"/>
          <w:szCs w:val="26"/>
          <w:lang w:eastAsia="pt-BR"/>
        </w:rPr>
        <w:t xml:space="preserve"> </w:t>
      </w:r>
      <w:r>
        <w:rPr>
          <w:rFonts w:eastAsia="Times New Roman" w:cstheme="minorHAnsi"/>
          <w:sz w:val="26"/>
          <w:szCs w:val="26"/>
          <w:lang w:eastAsia="pt-BR"/>
        </w:rPr>
        <w:t xml:space="preserve">sendo a área proposta para atendimento à Compensação Florestal Minerária previstas no Art. 75 da Lei 20.922/2013, conforme citado acima, uma gleba de </w:t>
      </w:r>
      <w:r>
        <w:rPr>
          <w:rFonts w:eastAsia="Times New Roman" w:cstheme="minorHAnsi"/>
          <w:b/>
          <w:sz w:val="26"/>
          <w:szCs w:val="26"/>
          <w:lang w:eastAsia="pt-BR"/>
        </w:rPr>
        <w:t xml:space="preserve">33,7468ha </w:t>
      </w:r>
      <w:r>
        <w:rPr>
          <w:rFonts w:eastAsia="Times New Roman" w:cstheme="minorHAnsi"/>
          <w:sz w:val="26"/>
          <w:szCs w:val="26"/>
          <w:lang w:eastAsia="pt-BR"/>
        </w:rPr>
        <w:t xml:space="preserve">localizada em uma propriedade (matrícula nº 13.411) com área total </w:t>
      </w:r>
      <w:r>
        <w:rPr>
          <w:rFonts w:eastAsia="Times New Roman" w:cstheme="minorHAnsi"/>
          <w:bCs/>
          <w:sz w:val="26"/>
          <w:szCs w:val="26"/>
          <w:lang w:eastAsia="pt-BR"/>
        </w:rPr>
        <w:t>de</w:t>
      </w:r>
      <w:r>
        <w:rPr>
          <w:rFonts w:eastAsia="Times New Roman" w:cstheme="minorHAnsi"/>
          <w:b/>
          <w:sz w:val="26"/>
          <w:szCs w:val="26"/>
          <w:lang w:eastAsia="pt-BR"/>
        </w:rPr>
        <w:t xml:space="preserve"> </w:t>
      </w:r>
      <w:r>
        <w:rPr>
          <w:rFonts w:eastAsia="Times New Roman" w:cstheme="minorHAnsi"/>
          <w:sz w:val="26"/>
          <w:szCs w:val="26"/>
          <w:lang w:eastAsia="pt-BR"/>
        </w:rPr>
        <w:t>85,9514 hectares, inserida parcialmente no Parque Estadual da Serra do Papagaio</w:t>
      </w:r>
      <w:r>
        <w:rPr>
          <w:rFonts w:eastAsia="Times New Roman" w:cstheme="minorHAnsi"/>
          <w:sz w:val="26"/>
          <w:szCs w:val="26"/>
          <w:lang w:val="en-US" w:eastAsia="pt-BR"/>
        </w:rPr>
        <w:t>.</w:t>
      </w:r>
    </w:p>
    <w:p w14:paraId="51F9B707" w14:textId="77777777" w:rsidR="006917C0" w:rsidRDefault="006C5ED1">
      <w:pPr>
        <w:pStyle w:val="Default"/>
        <w:jc w:val="both"/>
        <w:rPr>
          <w:rFonts w:eastAsia="Times New Roman" w:cstheme="minorHAnsi"/>
          <w:sz w:val="26"/>
          <w:szCs w:val="26"/>
          <w:lang w:val="en-US" w:eastAsia="pt-BR"/>
        </w:rPr>
      </w:pPr>
      <w:r>
        <w:rPr>
          <w:rFonts w:eastAsia="Times New Roman" w:cstheme="minorHAnsi"/>
          <w:noProof/>
          <w:sz w:val="26"/>
          <w:szCs w:val="26"/>
          <w:lang w:eastAsia="pt-BR"/>
        </w:rPr>
        <w:lastRenderedPageBreak/>
        <w:drawing>
          <wp:inline distT="0" distB="0" distL="0" distR="0" wp14:anchorId="591E3B3A" wp14:editId="77D30D50">
            <wp:extent cx="5400040" cy="3275965"/>
            <wp:effectExtent l="0" t="0" r="0" b="635"/>
            <wp:docPr id="12" name="Imagem 12" descr="J:\Banco de Dados - NUBIO\COMPENSAÇÃO MINERÁRIA\Processos em análise 2022\Bellas Pedras e Antônio Francisco\Área proposta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m 12" descr="J:\Banco de Dados - NUBIO\COMPENSAÇÃO MINERÁRIA\Processos em análise 2022\Bellas Pedras e Antônio Francisco\Área proposta 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5400040" cy="3276024"/>
                    </a:xfrm>
                    <a:prstGeom prst="rect">
                      <a:avLst/>
                    </a:prstGeom>
                    <a:noFill/>
                    <a:ln>
                      <a:noFill/>
                    </a:ln>
                  </pic:spPr>
                </pic:pic>
              </a:graphicData>
            </a:graphic>
          </wp:inline>
        </w:drawing>
      </w:r>
    </w:p>
    <w:p w14:paraId="73EF57F0" w14:textId="77777777" w:rsidR="006917C0" w:rsidRDefault="006C5ED1">
      <w:pPr>
        <w:spacing w:after="0" w:line="240" w:lineRule="auto"/>
        <w:rPr>
          <w:lang w:eastAsia="pt-BR"/>
        </w:rPr>
      </w:pPr>
      <w:r>
        <w:rPr>
          <w:lang w:eastAsia="pt-BR"/>
        </w:rPr>
        <w:t xml:space="preserve">Imagem 5: Área com o polígono em amarelo, compreendendo a parte interna </w:t>
      </w:r>
      <w:r>
        <w:t>e os  limites do PESP (linha em roxo)</w:t>
      </w:r>
      <w:r>
        <w:rPr>
          <w:lang w:eastAsia="pt-BR"/>
        </w:rPr>
        <w:t>.</w:t>
      </w:r>
    </w:p>
    <w:p w14:paraId="400D8E92" w14:textId="77777777" w:rsidR="006917C0" w:rsidRDefault="006917C0">
      <w:pPr>
        <w:spacing w:after="0" w:line="240" w:lineRule="auto"/>
        <w:rPr>
          <w:lang w:eastAsia="pt-BR"/>
        </w:rPr>
      </w:pPr>
    </w:p>
    <w:p w14:paraId="63233E98" w14:textId="77777777" w:rsidR="006917C0" w:rsidRDefault="006C5ED1">
      <w:pPr>
        <w:spacing w:before="120" w:after="0" w:line="240" w:lineRule="auto"/>
        <w:ind w:right="119"/>
        <w:jc w:val="both"/>
        <w:rPr>
          <w:rFonts w:eastAsia="Times New Roman" w:cstheme="minorHAnsi"/>
          <w:color w:val="000000"/>
          <w:sz w:val="26"/>
          <w:szCs w:val="26"/>
          <w:lang w:eastAsia="pt-BR"/>
        </w:rPr>
      </w:pPr>
      <w:r>
        <w:rPr>
          <w:rFonts w:eastAsia="Times New Roman" w:cstheme="minorHAnsi"/>
          <w:color w:val="000000"/>
          <w:sz w:val="26"/>
          <w:szCs w:val="26"/>
          <w:lang w:eastAsia="pt-BR"/>
        </w:rPr>
        <w:t>Localizada na bacia hidrográfica Rio Grande, no Bioma Mata Atlântica e características vegetacionais identificadas na imagem IDE abaixo, e conforme imagem não há constatação de benfeitorias no interior da área proposta, sendo praticamente 100% com fitofisionomia de floresta Atlântica.</w:t>
      </w:r>
    </w:p>
    <w:p w14:paraId="5A2538F7" w14:textId="77777777" w:rsidR="006917C0" w:rsidRDefault="006917C0">
      <w:pPr>
        <w:spacing w:before="120" w:after="0" w:line="240" w:lineRule="auto"/>
        <w:ind w:right="119"/>
        <w:jc w:val="both"/>
        <w:rPr>
          <w:rFonts w:eastAsia="Times New Roman" w:cstheme="minorHAnsi"/>
          <w:color w:val="000000"/>
          <w:sz w:val="26"/>
          <w:szCs w:val="26"/>
          <w:highlight w:val="yellow"/>
          <w:lang w:eastAsia="pt-BR"/>
        </w:rPr>
      </w:pPr>
    </w:p>
    <w:p w14:paraId="61073D36" w14:textId="77777777" w:rsidR="006917C0" w:rsidRDefault="006C5ED1">
      <w:pPr>
        <w:spacing w:before="120" w:after="0" w:line="240" w:lineRule="auto"/>
        <w:ind w:right="119"/>
        <w:jc w:val="both"/>
        <w:rPr>
          <w:rFonts w:eastAsia="Times New Roman" w:cstheme="minorHAnsi"/>
          <w:color w:val="000000"/>
          <w:sz w:val="26"/>
          <w:szCs w:val="26"/>
          <w:highlight w:val="yellow"/>
          <w:lang w:eastAsia="pt-BR"/>
        </w:rPr>
      </w:pPr>
      <w:r>
        <w:rPr>
          <w:noProof/>
          <w:lang w:eastAsia="pt-BR"/>
        </w:rPr>
        <w:drawing>
          <wp:inline distT="0" distB="0" distL="0" distR="0" wp14:anchorId="76B2AFD1" wp14:editId="400FEB92">
            <wp:extent cx="5400040" cy="3037205"/>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a:picLocks noChangeAspect="1"/>
                    </pic:cNvPicPr>
                  </pic:nvPicPr>
                  <pic:blipFill>
                    <a:blip r:embed="rId12"/>
                    <a:stretch>
                      <a:fillRect/>
                    </a:stretch>
                  </pic:blipFill>
                  <pic:spPr>
                    <a:xfrm>
                      <a:off x="0" y="0"/>
                      <a:ext cx="5400040" cy="3037293"/>
                    </a:xfrm>
                    <a:prstGeom prst="rect">
                      <a:avLst/>
                    </a:prstGeom>
                  </pic:spPr>
                </pic:pic>
              </a:graphicData>
            </a:graphic>
          </wp:inline>
        </w:drawing>
      </w:r>
    </w:p>
    <w:p w14:paraId="6DC42684" w14:textId="77777777" w:rsidR="006917C0" w:rsidRDefault="006C5ED1">
      <w:pPr>
        <w:spacing w:after="0" w:line="240" w:lineRule="auto"/>
        <w:rPr>
          <w:highlight w:val="yellow"/>
          <w:lang w:eastAsia="pt-BR"/>
        </w:rPr>
      </w:pPr>
      <w:r>
        <w:rPr>
          <w:lang w:eastAsia="pt-BR"/>
        </w:rPr>
        <w:t>Imagem 6: Bioma Mata Atlântica e características vegetacionais identificada no IDE.</w:t>
      </w:r>
    </w:p>
    <w:p w14:paraId="1906975B" w14:textId="77777777" w:rsidR="006917C0" w:rsidRDefault="006917C0">
      <w:pPr>
        <w:spacing w:after="0" w:line="240" w:lineRule="auto"/>
        <w:rPr>
          <w:highlight w:val="yellow"/>
          <w:lang w:eastAsia="pt-BR"/>
        </w:rPr>
      </w:pPr>
    </w:p>
    <w:p w14:paraId="2CE94C36" w14:textId="77777777" w:rsidR="006917C0" w:rsidRDefault="006917C0">
      <w:pPr>
        <w:spacing w:before="120" w:after="120" w:line="240" w:lineRule="auto"/>
        <w:ind w:right="120"/>
        <w:jc w:val="both"/>
        <w:rPr>
          <w:rFonts w:eastAsia="Times New Roman" w:cstheme="minorHAnsi"/>
          <w:color w:val="000000"/>
          <w:sz w:val="26"/>
          <w:szCs w:val="26"/>
          <w:highlight w:val="yellow"/>
          <w:lang w:val="en-US" w:eastAsia="pt-BR"/>
        </w:rPr>
      </w:pPr>
    </w:p>
    <w:p w14:paraId="0D1D7868" w14:textId="77777777" w:rsidR="006917C0" w:rsidRDefault="006917C0">
      <w:pPr>
        <w:spacing w:before="120" w:after="0" w:line="240" w:lineRule="auto"/>
        <w:ind w:right="119"/>
        <w:jc w:val="both"/>
        <w:rPr>
          <w:rFonts w:eastAsia="Times New Roman" w:cstheme="minorHAnsi"/>
          <w:color w:val="000000"/>
          <w:sz w:val="26"/>
          <w:szCs w:val="26"/>
          <w:highlight w:val="yellow"/>
          <w:lang w:eastAsia="pt-BR"/>
        </w:rPr>
      </w:pPr>
    </w:p>
    <w:p w14:paraId="3EA0D784"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Ressaltamos, a título de lembrança, que o Parque Estadual da Serra do Papagaio teve seus limites alterados em 2021, estando seu novo limite registrado no sistema IDE, sendo acrescentado aproximadamente 5,7 mil hectares e retirado outros 2,8 mil hectares, com a modificação passou a ter 25.872,7016 hectares. </w:t>
      </w:r>
    </w:p>
    <w:p w14:paraId="3B78C376"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Esta alteração se deu efetivada em 6 de JANEIRO de 2021, LEI Nº 23.774, onde dispõe sobre a alteração dos limites da área do Parque Estadual da Serra do Papagaio, localizado nos municípios de Aiuruoca, Alagoa, Baependi, Itamonte e Pouso Alto.</w:t>
      </w:r>
    </w:p>
    <w:p w14:paraId="22EF5DE9"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noProof/>
          <w:lang w:eastAsia="pt-BR"/>
        </w:rPr>
        <w:drawing>
          <wp:inline distT="0" distB="0" distL="0" distR="0" wp14:anchorId="3DCD299D" wp14:editId="02C24341">
            <wp:extent cx="5400040" cy="3037205"/>
            <wp:effectExtent l="0" t="0" r="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m 3"/>
                    <pic:cNvPicPr>
                      <a:picLocks noChangeAspect="1"/>
                    </pic:cNvPicPr>
                  </pic:nvPicPr>
                  <pic:blipFill>
                    <a:blip r:embed="rId13"/>
                    <a:stretch>
                      <a:fillRect/>
                    </a:stretch>
                  </pic:blipFill>
                  <pic:spPr>
                    <a:xfrm>
                      <a:off x="0" y="0"/>
                      <a:ext cx="5400040" cy="3037293"/>
                    </a:xfrm>
                    <a:prstGeom prst="rect">
                      <a:avLst/>
                    </a:prstGeom>
                  </pic:spPr>
                </pic:pic>
              </a:graphicData>
            </a:graphic>
          </wp:inline>
        </w:drawing>
      </w:r>
    </w:p>
    <w:p w14:paraId="53F27787" w14:textId="77777777" w:rsidR="006917C0" w:rsidRDefault="006C5ED1">
      <w:pPr>
        <w:spacing w:after="0" w:line="240" w:lineRule="auto"/>
        <w:rPr>
          <w:lang w:eastAsia="pt-BR"/>
        </w:rPr>
      </w:pPr>
      <w:r>
        <w:rPr>
          <w:lang w:eastAsia="pt-BR"/>
        </w:rPr>
        <w:t>Imagem 7: Área proposta para doação, sendo praticamente 100% com fitofisionomia de floresta Atlântica.</w:t>
      </w:r>
    </w:p>
    <w:p w14:paraId="17E0659D" w14:textId="77777777" w:rsidR="006917C0" w:rsidRDefault="006917C0">
      <w:pPr>
        <w:spacing w:before="120" w:after="120" w:line="240" w:lineRule="auto"/>
        <w:ind w:right="120"/>
        <w:jc w:val="both"/>
        <w:rPr>
          <w:rFonts w:eastAsia="Times New Roman" w:cstheme="minorHAnsi"/>
          <w:color w:val="000000"/>
          <w:sz w:val="26"/>
          <w:szCs w:val="26"/>
          <w:highlight w:val="yellow"/>
          <w:lang w:eastAsia="pt-BR"/>
        </w:rPr>
      </w:pPr>
    </w:p>
    <w:p w14:paraId="16A6FD46" w14:textId="77777777" w:rsidR="006917C0" w:rsidRDefault="006C5ED1">
      <w:pPr>
        <w:shd w:val="clear" w:color="auto" w:fill="E6E6E6"/>
        <w:spacing w:before="120" w:after="120" w:line="240" w:lineRule="auto"/>
        <w:ind w:left="120" w:right="120"/>
        <w:jc w:val="both"/>
        <w:rPr>
          <w:rFonts w:eastAsia="Times New Roman" w:cstheme="minorHAnsi"/>
          <w:color w:val="000000"/>
          <w:sz w:val="26"/>
          <w:szCs w:val="26"/>
          <w:lang w:eastAsia="pt-BR"/>
        </w:rPr>
      </w:pPr>
      <w:r>
        <w:rPr>
          <w:rFonts w:eastAsia="Times New Roman" w:cstheme="minorHAnsi"/>
          <w:b/>
          <w:bCs/>
          <w:caps/>
          <w:color w:val="000000"/>
          <w:sz w:val="26"/>
          <w:szCs w:val="26"/>
          <w:lang w:eastAsia="pt-BR"/>
        </w:rPr>
        <w:t>5 - AVALIAÇÃO DA PROPOSTA</w:t>
      </w:r>
    </w:p>
    <w:p w14:paraId="1F4F139D" w14:textId="77777777" w:rsidR="006917C0" w:rsidRDefault="006917C0">
      <w:pPr>
        <w:spacing w:before="120" w:after="120" w:line="240" w:lineRule="auto"/>
        <w:ind w:right="120"/>
        <w:jc w:val="both"/>
        <w:rPr>
          <w:rFonts w:eastAsia="Times New Roman" w:cstheme="minorHAnsi"/>
          <w:color w:val="000000"/>
          <w:sz w:val="26"/>
          <w:szCs w:val="26"/>
          <w:lang w:eastAsia="pt-BR"/>
        </w:rPr>
      </w:pPr>
    </w:p>
    <w:p w14:paraId="37B035D1" w14:textId="77777777" w:rsidR="006917C0" w:rsidRDefault="006C5ED1">
      <w:pPr>
        <w:spacing w:after="0" w:line="240" w:lineRule="auto"/>
        <w:ind w:right="119"/>
        <w:jc w:val="both"/>
        <w:rPr>
          <w:rFonts w:eastAsia="Times New Roman" w:cstheme="minorHAnsi"/>
          <w:color w:val="000000"/>
          <w:sz w:val="26"/>
          <w:szCs w:val="26"/>
          <w:lang w:eastAsia="pt-BR"/>
        </w:rPr>
      </w:pPr>
      <w:r>
        <w:rPr>
          <w:rFonts w:eastAsia="Times New Roman" w:cstheme="minorHAnsi"/>
          <w:color w:val="000000"/>
          <w:sz w:val="26"/>
          <w:szCs w:val="26"/>
          <w:lang w:eastAsia="pt-BR"/>
        </w:rPr>
        <w:t>Conforme já colocado anteriormente, a área proposta trata-se de uma gleba</w:t>
      </w:r>
    </w:p>
    <w:p w14:paraId="7E0D6D36" w14:textId="77777777" w:rsidR="006917C0" w:rsidRDefault="006C5ED1">
      <w:pPr>
        <w:spacing w:after="0" w:line="240" w:lineRule="auto"/>
        <w:ind w:right="119"/>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com </w:t>
      </w:r>
      <w:r>
        <w:rPr>
          <w:rFonts w:eastAsia="Times New Roman" w:cstheme="minorHAnsi"/>
          <w:b/>
          <w:color w:val="000000"/>
          <w:sz w:val="26"/>
          <w:szCs w:val="26"/>
          <w:lang w:eastAsia="pt-BR"/>
        </w:rPr>
        <w:t>33,7468 hectares</w:t>
      </w:r>
      <w:r>
        <w:rPr>
          <w:rFonts w:eastAsia="Times New Roman" w:cstheme="minorHAnsi"/>
          <w:color w:val="000000"/>
          <w:sz w:val="26"/>
          <w:szCs w:val="26"/>
          <w:lang w:eastAsia="pt-BR"/>
        </w:rPr>
        <w:t xml:space="preserve">, sendo a matrícula identificada como nº </w:t>
      </w:r>
      <w:r>
        <w:rPr>
          <w:rFonts w:eastAsia="Times New Roman" w:cstheme="minorHAnsi"/>
          <w:color w:val="000000"/>
          <w:sz w:val="26"/>
          <w:szCs w:val="26"/>
        </w:rPr>
        <w:t xml:space="preserve">13.411 </w:t>
      </w:r>
      <w:r>
        <w:rPr>
          <w:rFonts w:eastAsia="Times New Roman" w:cstheme="minorHAnsi"/>
          <w:color w:val="000000"/>
          <w:sz w:val="26"/>
          <w:szCs w:val="26"/>
          <w:lang w:eastAsia="pt-BR"/>
        </w:rPr>
        <w:t xml:space="preserve">registrado no cartório de registro de imóveis da comarca de </w:t>
      </w:r>
      <w:r>
        <w:rPr>
          <w:rFonts w:eastAsia="Times New Roman" w:cstheme="minorHAnsi"/>
          <w:color w:val="000000"/>
          <w:sz w:val="26"/>
          <w:szCs w:val="26"/>
        </w:rPr>
        <w:t>São Lourenço</w:t>
      </w:r>
      <w:r>
        <w:rPr>
          <w:rFonts w:eastAsia="Times New Roman" w:cstheme="minorHAnsi"/>
          <w:color w:val="000000"/>
          <w:sz w:val="26"/>
          <w:szCs w:val="26"/>
          <w:lang w:eastAsia="pt-BR"/>
        </w:rPr>
        <w:t xml:space="preserve">, imóvel denominado </w:t>
      </w:r>
      <w:r>
        <w:rPr>
          <w:rFonts w:eastAsia="Times New Roman" w:cstheme="minorHAnsi"/>
          <w:color w:val="000000"/>
          <w:sz w:val="26"/>
          <w:szCs w:val="26"/>
        </w:rPr>
        <w:t>Capetinga</w:t>
      </w:r>
      <w:r>
        <w:rPr>
          <w:rFonts w:eastAsia="Times New Roman" w:cstheme="minorHAnsi"/>
          <w:color w:val="000000"/>
          <w:sz w:val="26"/>
          <w:szCs w:val="26"/>
          <w:lang w:eastAsia="pt-BR"/>
        </w:rPr>
        <w:t xml:space="preserve">, localizado no município de </w:t>
      </w:r>
      <w:r>
        <w:rPr>
          <w:rFonts w:eastAsia="Times New Roman" w:cstheme="minorHAnsi"/>
          <w:color w:val="000000"/>
          <w:sz w:val="26"/>
          <w:szCs w:val="26"/>
        </w:rPr>
        <w:t>Pouso Alto</w:t>
      </w:r>
      <w:r>
        <w:rPr>
          <w:rFonts w:eastAsia="Times New Roman" w:cstheme="minorHAnsi"/>
          <w:color w:val="000000"/>
          <w:sz w:val="26"/>
          <w:szCs w:val="26"/>
          <w:lang w:eastAsia="pt-BR"/>
        </w:rPr>
        <w:t>, com uma área total de</w:t>
      </w:r>
      <w:r>
        <w:rPr>
          <w:rFonts w:eastAsia="Times New Roman" w:cstheme="minorHAnsi"/>
          <w:b/>
          <w:color w:val="000000"/>
          <w:sz w:val="26"/>
          <w:szCs w:val="26"/>
          <w:lang w:eastAsia="pt-BR"/>
        </w:rPr>
        <w:t xml:space="preserve"> </w:t>
      </w:r>
      <w:r>
        <w:rPr>
          <w:rFonts w:eastAsia="Times New Roman" w:cstheme="minorHAnsi"/>
          <w:color w:val="000000"/>
          <w:sz w:val="26"/>
          <w:szCs w:val="26"/>
          <w:lang w:eastAsia="pt-BR"/>
        </w:rPr>
        <w:t>85,9514 hectares.</w:t>
      </w:r>
    </w:p>
    <w:p w14:paraId="6423AC19"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Sendo apresentado o Cadastro Ambiental Rural - CAR da referida propriedade.</w:t>
      </w:r>
    </w:p>
    <w:p w14:paraId="478E221C" w14:textId="77777777" w:rsidR="006917C0" w:rsidRDefault="006917C0">
      <w:pPr>
        <w:spacing w:after="0" w:line="240" w:lineRule="auto"/>
        <w:rPr>
          <w:highlight w:val="yellow"/>
          <w:lang w:eastAsia="pt-BR"/>
        </w:rPr>
      </w:pPr>
    </w:p>
    <w:p w14:paraId="32BF5CA5" w14:textId="77777777" w:rsidR="006917C0" w:rsidRDefault="006C5ED1">
      <w:pPr>
        <w:spacing w:after="0" w:line="240" w:lineRule="auto"/>
        <w:ind w:right="120"/>
        <w:jc w:val="both"/>
        <w:rPr>
          <w:rFonts w:eastAsia="Times New Roman" w:cstheme="minorHAnsi"/>
          <w:color w:val="000000"/>
          <w:sz w:val="26"/>
          <w:szCs w:val="26"/>
          <w:lang w:eastAsia="pt-BR"/>
        </w:rPr>
      </w:pPr>
      <w:r>
        <w:rPr>
          <w:rFonts w:eastAsia="Times New Roman" w:cstheme="minorHAnsi"/>
          <w:b/>
          <w:bCs/>
          <w:color w:val="000000"/>
          <w:sz w:val="26"/>
          <w:szCs w:val="26"/>
          <w:lang w:eastAsia="pt-BR"/>
        </w:rPr>
        <w:t xml:space="preserve">Nome da UC: </w:t>
      </w:r>
      <w:r>
        <w:rPr>
          <w:rFonts w:eastAsia="Times New Roman" w:cstheme="minorHAnsi"/>
          <w:color w:val="000000"/>
          <w:sz w:val="26"/>
          <w:szCs w:val="26"/>
          <w:lang w:eastAsia="pt-BR"/>
        </w:rPr>
        <w:t>Parque Estadual da Serra do Papagaio</w:t>
      </w:r>
    </w:p>
    <w:p w14:paraId="725202ED" w14:textId="77777777" w:rsidR="006917C0" w:rsidRDefault="006C5ED1">
      <w:pPr>
        <w:pStyle w:val="PargrafodaLista"/>
        <w:spacing w:after="0" w:line="240" w:lineRule="auto"/>
        <w:ind w:left="0" w:right="20" w:firstLine="0"/>
        <w:rPr>
          <w:sz w:val="22"/>
        </w:rPr>
      </w:pPr>
      <w:r>
        <w:rPr>
          <w:rFonts w:asciiTheme="minorHAnsi" w:eastAsia="Times New Roman" w:hAnsiTheme="minorHAnsi" w:cstheme="minorHAnsi"/>
          <w:b/>
          <w:bCs/>
          <w:color w:val="000000"/>
          <w:sz w:val="26"/>
          <w:szCs w:val="26"/>
        </w:rPr>
        <w:t>Ato de Criação:</w:t>
      </w:r>
      <w:r>
        <w:rPr>
          <w:rFonts w:eastAsia="Times New Roman" w:cstheme="minorHAnsi"/>
          <w:b/>
          <w:bCs/>
          <w:color w:val="000000"/>
          <w:sz w:val="26"/>
          <w:szCs w:val="26"/>
        </w:rPr>
        <w:t xml:space="preserve"> </w:t>
      </w:r>
      <w:r>
        <w:rPr>
          <w:rFonts w:asciiTheme="minorHAnsi" w:eastAsia="Times New Roman" w:hAnsiTheme="minorHAnsi" w:cstheme="minorHAnsi"/>
          <w:color w:val="000000"/>
          <w:sz w:val="26"/>
          <w:szCs w:val="26"/>
        </w:rPr>
        <w:t>Decreto 39.793, de 5 de Agosto de 1998 (criação); Lei 23.774, de 6 de janeiro de 2021 (alteração/ampliação).</w:t>
      </w:r>
    </w:p>
    <w:p w14:paraId="4F4727E5" w14:textId="77777777" w:rsidR="006917C0" w:rsidRDefault="006C5ED1">
      <w:pPr>
        <w:spacing w:after="0" w:line="240" w:lineRule="auto"/>
        <w:ind w:right="120"/>
        <w:jc w:val="both"/>
        <w:rPr>
          <w:rFonts w:eastAsia="Times New Roman" w:cstheme="minorHAnsi"/>
          <w:color w:val="000000"/>
          <w:sz w:val="26"/>
          <w:szCs w:val="26"/>
          <w:lang w:eastAsia="pt-BR"/>
        </w:rPr>
      </w:pPr>
      <w:r>
        <w:rPr>
          <w:rFonts w:eastAsia="Times New Roman" w:cstheme="minorHAnsi"/>
          <w:b/>
          <w:bCs/>
          <w:color w:val="000000"/>
          <w:sz w:val="26"/>
          <w:szCs w:val="26"/>
          <w:lang w:eastAsia="pt-BR"/>
        </w:rPr>
        <w:lastRenderedPageBreak/>
        <w:t xml:space="preserve">Endereço Sede da UC/Escritório: </w:t>
      </w:r>
      <w:r>
        <w:rPr>
          <w:rFonts w:eastAsia="Times New Roman" w:cstheme="minorHAnsi"/>
          <w:color w:val="000000"/>
          <w:sz w:val="26"/>
          <w:szCs w:val="26"/>
          <w:lang w:eastAsia="pt-BR"/>
        </w:rPr>
        <w:t xml:space="preserve">Rua Teixeira Leal, nº315. CEP: 37.440-000. </w:t>
      </w:r>
      <w:r>
        <w:rPr>
          <w:rFonts w:eastAsia="Times New Roman" w:cstheme="minorHAnsi"/>
          <w:bCs/>
          <w:color w:val="000000"/>
          <w:sz w:val="26"/>
          <w:szCs w:val="26"/>
          <w:lang w:eastAsia="pt-BR"/>
        </w:rPr>
        <w:t>Caxambu</w:t>
      </w:r>
    </w:p>
    <w:p w14:paraId="77D2684F" w14:textId="77777777" w:rsidR="006917C0" w:rsidRDefault="006C5ED1">
      <w:pPr>
        <w:spacing w:after="0" w:line="240" w:lineRule="auto"/>
        <w:ind w:right="120"/>
        <w:jc w:val="both"/>
        <w:rPr>
          <w:rFonts w:eastAsia="Times New Roman" w:cstheme="minorHAnsi"/>
          <w:color w:val="000000"/>
          <w:sz w:val="26"/>
          <w:szCs w:val="26"/>
          <w:lang w:eastAsia="pt-BR"/>
        </w:rPr>
      </w:pPr>
      <w:r>
        <w:rPr>
          <w:rFonts w:eastAsia="Times New Roman" w:cstheme="minorHAnsi"/>
          <w:b/>
          <w:bCs/>
          <w:color w:val="000000"/>
          <w:sz w:val="26"/>
          <w:szCs w:val="26"/>
          <w:lang w:eastAsia="pt-BR"/>
        </w:rPr>
        <w:t xml:space="preserve">Gerente: </w:t>
      </w:r>
      <w:r>
        <w:rPr>
          <w:rFonts w:eastAsia="Times New Roman" w:cstheme="minorHAnsi"/>
          <w:color w:val="000000"/>
          <w:sz w:val="26"/>
          <w:szCs w:val="26"/>
          <w:lang w:eastAsia="pt-BR"/>
        </w:rPr>
        <w:t>Lorena Soares Cardoso Brito</w:t>
      </w:r>
    </w:p>
    <w:p w14:paraId="5DF8A305" w14:textId="77777777" w:rsidR="006917C0" w:rsidRDefault="006917C0">
      <w:pPr>
        <w:spacing w:after="0" w:line="240" w:lineRule="auto"/>
        <w:ind w:right="120"/>
        <w:jc w:val="both"/>
        <w:rPr>
          <w:rFonts w:eastAsia="Times New Roman" w:cstheme="minorHAnsi"/>
          <w:color w:val="000000"/>
          <w:sz w:val="26"/>
          <w:szCs w:val="26"/>
          <w:highlight w:val="yellow"/>
          <w:lang w:eastAsia="pt-BR"/>
        </w:rPr>
      </w:pPr>
    </w:p>
    <w:p w14:paraId="2692EEA1" w14:textId="77777777" w:rsidR="006917C0" w:rsidRDefault="006C5ED1">
      <w:pPr>
        <w:spacing w:after="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Identificação da área (propriedades) destinadas à regularização fundiária:</w:t>
      </w:r>
    </w:p>
    <w:p w14:paraId="6DD95AF8" w14:textId="77777777" w:rsidR="006917C0" w:rsidRDefault="006917C0">
      <w:pPr>
        <w:spacing w:after="0" w:line="240" w:lineRule="auto"/>
        <w:ind w:right="120"/>
        <w:jc w:val="both"/>
        <w:rPr>
          <w:rFonts w:eastAsia="Times New Roman" w:cstheme="minorHAnsi"/>
          <w:color w:val="000000"/>
          <w:sz w:val="26"/>
          <w:szCs w:val="26"/>
          <w:lang w:eastAsia="pt-BR"/>
        </w:rPr>
      </w:pPr>
    </w:p>
    <w:p w14:paraId="4683DD0C" w14:textId="77777777" w:rsidR="006917C0" w:rsidRDefault="006C5ED1">
      <w:pPr>
        <w:spacing w:after="0" w:line="240" w:lineRule="auto"/>
        <w:ind w:right="120"/>
        <w:jc w:val="both"/>
        <w:rPr>
          <w:rFonts w:eastAsia="Times New Roman" w:cstheme="minorHAnsi"/>
          <w:color w:val="000000"/>
          <w:sz w:val="26"/>
          <w:szCs w:val="26"/>
          <w:lang w:eastAsia="pt-BR"/>
        </w:rPr>
      </w:pPr>
      <w:r>
        <w:rPr>
          <w:rFonts w:eastAsia="Times New Roman" w:cstheme="minorHAnsi"/>
          <w:b/>
          <w:bCs/>
          <w:color w:val="000000"/>
          <w:sz w:val="26"/>
          <w:szCs w:val="26"/>
          <w:lang w:eastAsia="pt-BR"/>
        </w:rPr>
        <w:t xml:space="preserve">Nome da Propriedade: </w:t>
      </w:r>
      <w:r>
        <w:rPr>
          <w:rFonts w:eastAsia="Times New Roman" w:cstheme="minorHAnsi"/>
          <w:color w:val="000000"/>
          <w:sz w:val="26"/>
          <w:szCs w:val="26"/>
        </w:rPr>
        <w:t>Capetinga</w:t>
      </w:r>
    </w:p>
    <w:p w14:paraId="4BC3E010" w14:textId="77777777" w:rsidR="006917C0" w:rsidRDefault="006C5ED1">
      <w:pPr>
        <w:spacing w:after="0" w:line="240" w:lineRule="auto"/>
        <w:ind w:right="120"/>
        <w:jc w:val="both"/>
        <w:rPr>
          <w:rFonts w:eastAsia="Times New Roman" w:cstheme="minorHAnsi"/>
          <w:color w:val="000000"/>
          <w:sz w:val="26"/>
          <w:szCs w:val="26"/>
          <w:lang w:eastAsia="pt-BR"/>
        </w:rPr>
      </w:pPr>
      <w:r>
        <w:rPr>
          <w:rFonts w:eastAsia="Times New Roman" w:cstheme="minorHAnsi"/>
          <w:b/>
          <w:bCs/>
          <w:color w:val="000000"/>
          <w:sz w:val="26"/>
          <w:szCs w:val="26"/>
          <w:lang w:eastAsia="pt-BR"/>
        </w:rPr>
        <w:t xml:space="preserve">Nome do Proprietário: </w:t>
      </w:r>
      <w:r>
        <w:rPr>
          <w:rFonts w:eastAsia="Times New Roman" w:cstheme="minorHAnsi"/>
          <w:sz w:val="26"/>
          <w:szCs w:val="26"/>
          <w:lang w:eastAsia="pt-BR"/>
        </w:rPr>
        <w:t>Silvio de Souza Oliveira Filho</w:t>
      </w:r>
    </w:p>
    <w:p w14:paraId="3477A353" w14:textId="77777777" w:rsidR="006917C0" w:rsidRDefault="006C5ED1">
      <w:pPr>
        <w:spacing w:after="0" w:line="240" w:lineRule="auto"/>
        <w:ind w:right="120"/>
        <w:jc w:val="both"/>
        <w:rPr>
          <w:rFonts w:eastAsia="Times New Roman" w:cstheme="minorHAnsi"/>
          <w:b/>
          <w:bCs/>
          <w:color w:val="000000"/>
          <w:sz w:val="26"/>
          <w:szCs w:val="26"/>
          <w:lang w:eastAsia="pt-BR"/>
        </w:rPr>
      </w:pPr>
      <w:r>
        <w:rPr>
          <w:rFonts w:eastAsia="Times New Roman" w:cstheme="minorHAnsi"/>
          <w:b/>
          <w:bCs/>
          <w:color w:val="000000"/>
          <w:sz w:val="26"/>
          <w:szCs w:val="26"/>
          <w:lang w:eastAsia="pt-BR"/>
        </w:rPr>
        <w:t xml:space="preserve">Área Total: </w:t>
      </w:r>
      <w:r>
        <w:rPr>
          <w:rFonts w:eastAsia="Times New Roman" w:cstheme="minorHAnsi"/>
          <w:color w:val="000000"/>
          <w:sz w:val="26"/>
          <w:szCs w:val="26"/>
          <w:lang w:eastAsia="pt-BR"/>
        </w:rPr>
        <w:t>85,9514ha</w:t>
      </w:r>
    </w:p>
    <w:p w14:paraId="6CC17500" w14:textId="77777777" w:rsidR="006917C0" w:rsidRDefault="006C5ED1">
      <w:pPr>
        <w:spacing w:after="0" w:line="240" w:lineRule="auto"/>
        <w:ind w:right="120"/>
        <w:jc w:val="both"/>
        <w:rPr>
          <w:rFonts w:eastAsia="Times New Roman" w:cstheme="minorHAnsi"/>
          <w:color w:val="000000"/>
          <w:sz w:val="26"/>
          <w:szCs w:val="26"/>
          <w:lang w:eastAsia="pt-BR"/>
        </w:rPr>
      </w:pPr>
      <w:r>
        <w:rPr>
          <w:rFonts w:eastAsia="Times New Roman" w:cstheme="minorHAnsi"/>
          <w:b/>
          <w:bCs/>
          <w:color w:val="000000"/>
          <w:sz w:val="26"/>
          <w:szCs w:val="26"/>
          <w:lang w:eastAsia="pt-BR"/>
        </w:rPr>
        <w:t xml:space="preserve">Município: </w:t>
      </w:r>
      <w:r>
        <w:rPr>
          <w:rFonts w:eastAsia="Times New Roman" w:cstheme="minorHAnsi"/>
          <w:color w:val="000000"/>
          <w:sz w:val="26"/>
          <w:szCs w:val="26"/>
        </w:rPr>
        <w:t>Pouso Alto</w:t>
      </w:r>
    </w:p>
    <w:p w14:paraId="54B276A3" w14:textId="77777777" w:rsidR="006917C0" w:rsidRDefault="006C5ED1">
      <w:pPr>
        <w:spacing w:after="0" w:line="240" w:lineRule="auto"/>
        <w:ind w:right="120"/>
        <w:jc w:val="both"/>
        <w:rPr>
          <w:rFonts w:eastAsia="Times New Roman" w:cstheme="minorHAnsi"/>
          <w:color w:val="000000"/>
          <w:sz w:val="26"/>
          <w:szCs w:val="26"/>
        </w:rPr>
      </w:pPr>
      <w:r>
        <w:rPr>
          <w:rFonts w:eastAsia="Times New Roman" w:cstheme="minorHAnsi"/>
          <w:b/>
          <w:bCs/>
          <w:color w:val="000000"/>
          <w:sz w:val="26"/>
          <w:szCs w:val="26"/>
          <w:lang w:eastAsia="pt-BR"/>
        </w:rPr>
        <w:t xml:space="preserve">Nº Matrícula: </w:t>
      </w:r>
      <w:r>
        <w:rPr>
          <w:rFonts w:eastAsia="Times New Roman" w:cstheme="minorHAnsi"/>
          <w:color w:val="000000"/>
          <w:sz w:val="26"/>
          <w:szCs w:val="26"/>
        </w:rPr>
        <w:t>13.411</w:t>
      </w:r>
    </w:p>
    <w:p w14:paraId="5D7E2BF2" w14:textId="77777777" w:rsidR="006917C0" w:rsidRDefault="006917C0">
      <w:pPr>
        <w:spacing w:after="0" w:line="240" w:lineRule="auto"/>
        <w:ind w:right="120"/>
        <w:jc w:val="both"/>
        <w:rPr>
          <w:rFonts w:eastAsia="Times New Roman" w:cstheme="minorHAnsi"/>
          <w:color w:val="000000"/>
          <w:sz w:val="26"/>
          <w:szCs w:val="26"/>
          <w:highlight w:val="yellow"/>
          <w:lang w:eastAsia="pt-BR"/>
        </w:rPr>
      </w:pPr>
    </w:p>
    <w:p w14:paraId="4C68CFDC"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Todos os documentos em digital como plantas planimétricas memoriais descritivos das áreas propostas para a compensação minerária constam do referido processo SEI. </w:t>
      </w:r>
    </w:p>
    <w:p w14:paraId="6BFB08CE"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O responsável técnico pela elaboração desses documentos é o Engenheiro Civil, Mecânico e Ambiental – Ricardo Barros Pereira, CREA-MG 06.0.5061922446 – A.R.T. nº MG20210805561. </w:t>
      </w:r>
    </w:p>
    <w:p w14:paraId="188DB788"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Com relação à forma de compensação, a proposta apresentada compreende a doação de uma área no interior de Unidade de Conservação de Proteção Integral, pendente de regularização fundiária, atendendo o Art. 75 da Lei Estadual 20.922/13, em seu §1 até a presente data, e em seu 2º para a área do empreendimento informada.</w:t>
      </w:r>
    </w:p>
    <w:p w14:paraId="0FC69714"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Assim, com base nos aspectos observados conclui-se que a proposta apresentada no Projeto Executivo de Compensação Minerária atende à legislação ambiental vigente.</w:t>
      </w:r>
    </w:p>
    <w:p w14:paraId="509E965C" w14:textId="77777777" w:rsidR="006917C0" w:rsidRDefault="006C5ED1">
      <w:pPr>
        <w:spacing w:after="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O empreendimento </w:t>
      </w:r>
      <w:r>
        <w:rPr>
          <w:rFonts w:eastAsia="Times New Roman" w:cstheme="minorHAnsi"/>
          <w:sz w:val="26"/>
          <w:szCs w:val="26"/>
          <w:lang w:eastAsia="pt-BR"/>
        </w:rPr>
        <w:t>Bellas Pedras Comércio e Extração Ltda e, Antônio Francisco da Silva e Cia Ltda</w:t>
      </w:r>
      <w:r>
        <w:rPr>
          <w:rFonts w:eastAsia="Times New Roman" w:cstheme="minorHAnsi"/>
          <w:color w:val="000000"/>
          <w:sz w:val="26"/>
          <w:szCs w:val="26"/>
          <w:lang w:eastAsia="pt-BR"/>
        </w:rPr>
        <w:t xml:space="preserve">, localizado nos DNPM/ANM números 832.040/1997, 830.310/2013, 832.689/2001, 833.915/2011 e 835.542/1993, apresentou escritura pública da propriedade em nome de </w:t>
      </w:r>
      <w:r>
        <w:rPr>
          <w:rFonts w:eastAsia="Times New Roman" w:cstheme="minorHAnsi"/>
          <w:sz w:val="26"/>
          <w:szCs w:val="26"/>
          <w:lang w:eastAsia="pt-BR"/>
        </w:rPr>
        <w:t>Silvio de Souza Oliveira Filho,</w:t>
      </w:r>
      <w:r>
        <w:rPr>
          <w:rFonts w:eastAsia="Times New Roman" w:cstheme="minorHAnsi"/>
          <w:color w:val="000000"/>
          <w:sz w:val="26"/>
          <w:szCs w:val="26"/>
          <w:lang w:eastAsia="pt-BR"/>
        </w:rPr>
        <w:t xml:space="preserve"> onde se localiza a área proposta, apresentando cópia de “Instrumento Particular de Venda e Compra de Bem Imóvel Rural e Outras avenças” com o representante do proprietário do imóvel para a área a ser destinada para doação, localizadas na Unidade de Conservação de Proteção Integral Parque Estadual Serra do Papagaio – PESP.</w:t>
      </w:r>
    </w:p>
    <w:p w14:paraId="6EFB14D2"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Foi apresentado cronograma para cumprimento da etapa para a regularização fundiária de área proposta, entretanto foi necessário adequações para ficar coerente  aos procedimentos adotados pelo IEF, sendo exposto a seguir, as etapas necessárias.</w:t>
      </w:r>
    </w:p>
    <w:p w14:paraId="315AAE7B" w14:textId="77777777" w:rsidR="006917C0" w:rsidRDefault="006917C0">
      <w:pPr>
        <w:spacing w:before="120" w:after="120" w:line="288" w:lineRule="auto"/>
        <w:ind w:right="-426"/>
        <w:jc w:val="both"/>
        <w:rPr>
          <w:rFonts w:ascii="Arial" w:hAnsi="Arial" w:cs="Arial"/>
          <w:highlight w:val="yellow"/>
          <w:lang w:eastAsia="pt-BR"/>
        </w:rPr>
      </w:pPr>
    </w:p>
    <w:p w14:paraId="7EE477A0" w14:textId="77777777" w:rsidR="006917C0" w:rsidRDefault="006C5ED1">
      <w:pPr>
        <w:spacing w:before="120" w:after="120" w:line="288" w:lineRule="auto"/>
        <w:ind w:right="-426"/>
        <w:jc w:val="center"/>
        <w:rPr>
          <w:rFonts w:eastAsia="Times New Roman" w:cstheme="minorHAnsi"/>
          <w:color w:val="000000"/>
          <w:sz w:val="26"/>
          <w:szCs w:val="26"/>
          <w:lang w:eastAsia="pt-BR"/>
        </w:rPr>
      </w:pPr>
      <w:r>
        <w:rPr>
          <w:rFonts w:eastAsia="Times New Roman" w:cstheme="minorHAnsi"/>
          <w:color w:val="000000"/>
          <w:sz w:val="26"/>
          <w:szCs w:val="26"/>
          <w:lang w:eastAsia="pt-BR"/>
        </w:rPr>
        <w:t>CRONOGRAMA DE EXECUÇÃO DAS AÇÕES</w:t>
      </w:r>
    </w:p>
    <w:tbl>
      <w:tblPr>
        <w:tblStyle w:val="Tabelacomgrade"/>
        <w:tblW w:w="9228" w:type="dxa"/>
        <w:tblLayout w:type="fixed"/>
        <w:tblLook w:val="04A0" w:firstRow="1" w:lastRow="0" w:firstColumn="1" w:lastColumn="0" w:noHBand="0" w:noVBand="1"/>
      </w:tblPr>
      <w:tblGrid>
        <w:gridCol w:w="2802"/>
        <w:gridCol w:w="3812"/>
        <w:gridCol w:w="2614"/>
      </w:tblGrid>
      <w:tr w:rsidR="006917C0" w14:paraId="4646F1EE" w14:textId="77777777">
        <w:trPr>
          <w:trHeight w:val="386"/>
        </w:trPr>
        <w:tc>
          <w:tcPr>
            <w:tcW w:w="2802" w:type="dxa"/>
            <w:shd w:val="clear" w:color="auto" w:fill="D9D9D9" w:themeFill="background1" w:themeFillShade="D9"/>
            <w:vAlign w:val="center"/>
          </w:tcPr>
          <w:p w14:paraId="1DCE3840" w14:textId="77777777" w:rsidR="006917C0" w:rsidRDefault="006C5ED1">
            <w:pPr>
              <w:autoSpaceDE w:val="0"/>
              <w:autoSpaceDN w:val="0"/>
              <w:adjustRightInd w:val="0"/>
              <w:spacing w:after="0" w:line="240" w:lineRule="auto"/>
              <w:ind w:right="-426"/>
              <w:jc w:val="center"/>
              <w:rPr>
                <w:rFonts w:ascii="Arial" w:hAnsi="Arial" w:cs="Arial"/>
                <w:b/>
                <w:bCs/>
                <w:sz w:val="20"/>
                <w:szCs w:val="20"/>
              </w:rPr>
            </w:pPr>
            <w:r>
              <w:rPr>
                <w:rFonts w:ascii="Arial" w:hAnsi="Arial" w:cs="Arial"/>
                <w:b/>
                <w:bCs/>
                <w:sz w:val="20"/>
                <w:szCs w:val="20"/>
              </w:rPr>
              <w:lastRenderedPageBreak/>
              <w:t>Etapa/Ação</w:t>
            </w:r>
          </w:p>
        </w:tc>
        <w:tc>
          <w:tcPr>
            <w:tcW w:w="3812" w:type="dxa"/>
            <w:shd w:val="clear" w:color="auto" w:fill="D9D9D9" w:themeFill="background1" w:themeFillShade="D9"/>
            <w:vAlign w:val="center"/>
          </w:tcPr>
          <w:p w14:paraId="0B50C44C" w14:textId="77777777" w:rsidR="006917C0" w:rsidRDefault="006C5ED1">
            <w:pPr>
              <w:autoSpaceDE w:val="0"/>
              <w:autoSpaceDN w:val="0"/>
              <w:adjustRightInd w:val="0"/>
              <w:spacing w:after="0" w:line="240" w:lineRule="auto"/>
              <w:ind w:right="-426"/>
              <w:jc w:val="center"/>
              <w:rPr>
                <w:rFonts w:ascii="Arial" w:hAnsi="Arial" w:cs="Arial"/>
                <w:b/>
                <w:bCs/>
                <w:sz w:val="20"/>
                <w:szCs w:val="20"/>
              </w:rPr>
            </w:pPr>
            <w:r>
              <w:rPr>
                <w:rFonts w:ascii="Arial" w:hAnsi="Arial" w:cs="Arial"/>
                <w:b/>
                <w:bCs/>
                <w:sz w:val="20"/>
                <w:szCs w:val="20"/>
              </w:rPr>
              <w:t>Detalhamento da Ação</w:t>
            </w:r>
          </w:p>
        </w:tc>
        <w:tc>
          <w:tcPr>
            <w:tcW w:w="2614" w:type="dxa"/>
            <w:shd w:val="clear" w:color="auto" w:fill="D9D9D9" w:themeFill="background1" w:themeFillShade="D9"/>
            <w:vAlign w:val="center"/>
          </w:tcPr>
          <w:p w14:paraId="3487514E" w14:textId="77777777" w:rsidR="006917C0" w:rsidRDefault="006C5ED1">
            <w:pPr>
              <w:autoSpaceDE w:val="0"/>
              <w:autoSpaceDN w:val="0"/>
              <w:adjustRightInd w:val="0"/>
              <w:spacing w:after="0" w:line="240" w:lineRule="auto"/>
              <w:ind w:right="-426"/>
              <w:jc w:val="center"/>
              <w:rPr>
                <w:rFonts w:ascii="Arial" w:hAnsi="Arial" w:cs="Arial"/>
                <w:b/>
                <w:bCs/>
                <w:sz w:val="20"/>
                <w:szCs w:val="20"/>
              </w:rPr>
            </w:pPr>
            <w:r>
              <w:rPr>
                <w:rFonts w:ascii="Arial" w:hAnsi="Arial" w:cs="Arial"/>
                <w:b/>
                <w:bCs/>
                <w:sz w:val="20"/>
                <w:szCs w:val="20"/>
              </w:rPr>
              <w:t>Prazo</w:t>
            </w:r>
          </w:p>
        </w:tc>
      </w:tr>
      <w:tr w:rsidR="006917C0" w14:paraId="71DC519B" w14:textId="77777777">
        <w:tc>
          <w:tcPr>
            <w:tcW w:w="2802" w:type="dxa"/>
            <w:shd w:val="clear" w:color="auto" w:fill="F2F2F2" w:themeFill="background1" w:themeFillShade="F2"/>
            <w:vAlign w:val="center"/>
          </w:tcPr>
          <w:p w14:paraId="2ABC1413" w14:textId="77777777" w:rsidR="006917C0" w:rsidRDefault="006C5ED1">
            <w:pPr>
              <w:pStyle w:val="Default"/>
              <w:rPr>
                <w:sz w:val="22"/>
                <w:szCs w:val="22"/>
              </w:rPr>
            </w:pPr>
            <w:r>
              <w:rPr>
                <w:sz w:val="22"/>
                <w:szCs w:val="22"/>
              </w:rPr>
              <w:t>Termo de Compromisso de Compensação Florestal Minerária – TCCFM</w:t>
            </w:r>
          </w:p>
        </w:tc>
        <w:tc>
          <w:tcPr>
            <w:tcW w:w="3812" w:type="dxa"/>
            <w:shd w:val="clear" w:color="auto" w:fill="F2F2F2" w:themeFill="background1" w:themeFillShade="F2"/>
            <w:vAlign w:val="center"/>
          </w:tcPr>
          <w:p w14:paraId="0C5AE3DD" w14:textId="77777777" w:rsidR="006917C0" w:rsidRDefault="006C5ED1">
            <w:pPr>
              <w:pStyle w:val="Default"/>
              <w:rPr>
                <w:sz w:val="22"/>
                <w:szCs w:val="22"/>
              </w:rPr>
            </w:pPr>
            <w:r>
              <w:rPr>
                <w:sz w:val="22"/>
                <w:szCs w:val="22"/>
              </w:rPr>
              <w:t>Assinatura do TCCFM</w:t>
            </w:r>
          </w:p>
        </w:tc>
        <w:tc>
          <w:tcPr>
            <w:tcW w:w="2614" w:type="dxa"/>
            <w:shd w:val="clear" w:color="auto" w:fill="F2F2F2" w:themeFill="background1" w:themeFillShade="F2"/>
            <w:vAlign w:val="center"/>
          </w:tcPr>
          <w:p w14:paraId="15E4494A" w14:textId="77777777" w:rsidR="006917C0" w:rsidRDefault="006C5ED1">
            <w:pPr>
              <w:pStyle w:val="Default"/>
              <w:rPr>
                <w:sz w:val="22"/>
                <w:szCs w:val="22"/>
              </w:rPr>
            </w:pPr>
            <w:r>
              <w:rPr>
                <w:sz w:val="22"/>
                <w:szCs w:val="22"/>
              </w:rPr>
              <w:t>Até 7 dias após recebimento</w:t>
            </w:r>
          </w:p>
        </w:tc>
      </w:tr>
      <w:tr w:rsidR="006917C0" w14:paraId="397859E1" w14:textId="77777777">
        <w:tc>
          <w:tcPr>
            <w:tcW w:w="2802" w:type="dxa"/>
            <w:shd w:val="clear" w:color="auto" w:fill="F2F2F2" w:themeFill="background1" w:themeFillShade="F2"/>
            <w:vAlign w:val="center"/>
          </w:tcPr>
          <w:p w14:paraId="2C338A37" w14:textId="77777777" w:rsidR="006917C0" w:rsidRDefault="006C5ED1">
            <w:pPr>
              <w:pStyle w:val="Default"/>
              <w:rPr>
                <w:sz w:val="22"/>
                <w:szCs w:val="22"/>
              </w:rPr>
            </w:pPr>
            <w:r>
              <w:rPr>
                <w:sz w:val="22"/>
                <w:szCs w:val="22"/>
              </w:rPr>
              <w:t>Publicação</w:t>
            </w:r>
          </w:p>
        </w:tc>
        <w:tc>
          <w:tcPr>
            <w:tcW w:w="3812" w:type="dxa"/>
            <w:shd w:val="clear" w:color="auto" w:fill="F2F2F2" w:themeFill="background1" w:themeFillShade="F2"/>
            <w:vAlign w:val="center"/>
          </w:tcPr>
          <w:p w14:paraId="504A30D4" w14:textId="77777777" w:rsidR="006917C0" w:rsidRDefault="006C5ED1">
            <w:pPr>
              <w:pStyle w:val="Default"/>
              <w:rPr>
                <w:sz w:val="22"/>
                <w:szCs w:val="22"/>
              </w:rPr>
            </w:pPr>
            <w:r>
              <w:rPr>
                <w:sz w:val="22"/>
                <w:szCs w:val="22"/>
              </w:rPr>
              <w:t>Providenciar publicação do extrato do TCCFM na Imprensa Oficial do Estado de Minas Gerais.</w:t>
            </w:r>
          </w:p>
        </w:tc>
        <w:tc>
          <w:tcPr>
            <w:tcW w:w="2614" w:type="dxa"/>
            <w:shd w:val="clear" w:color="auto" w:fill="F2F2F2" w:themeFill="background1" w:themeFillShade="F2"/>
            <w:vAlign w:val="center"/>
          </w:tcPr>
          <w:p w14:paraId="49400E7B" w14:textId="77777777" w:rsidR="006917C0" w:rsidRDefault="006C5ED1">
            <w:pPr>
              <w:pStyle w:val="Default"/>
              <w:rPr>
                <w:sz w:val="22"/>
                <w:szCs w:val="22"/>
              </w:rPr>
            </w:pPr>
            <w:r>
              <w:rPr>
                <w:sz w:val="22"/>
                <w:szCs w:val="22"/>
              </w:rPr>
              <w:t>Até 7 dias após assinatura do Termo de Compromisso</w:t>
            </w:r>
          </w:p>
        </w:tc>
      </w:tr>
      <w:tr w:rsidR="006917C0" w14:paraId="026D3B39" w14:textId="77777777">
        <w:tc>
          <w:tcPr>
            <w:tcW w:w="2802" w:type="dxa"/>
            <w:shd w:val="clear" w:color="auto" w:fill="F2F2F2" w:themeFill="background1" w:themeFillShade="F2"/>
            <w:vAlign w:val="center"/>
          </w:tcPr>
          <w:p w14:paraId="591CD45E" w14:textId="77777777" w:rsidR="006917C0" w:rsidRDefault="006C5ED1">
            <w:pPr>
              <w:pStyle w:val="Default"/>
              <w:rPr>
                <w:sz w:val="22"/>
                <w:szCs w:val="22"/>
              </w:rPr>
            </w:pPr>
            <w:r>
              <w:rPr>
                <w:sz w:val="22"/>
                <w:szCs w:val="22"/>
              </w:rPr>
              <w:t xml:space="preserve">Desmembramento da matrícula com o encaminhamento para a Gerência de Compensação Minerária e Regularização Fundiária </w:t>
            </w:r>
          </w:p>
        </w:tc>
        <w:tc>
          <w:tcPr>
            <w:tcW w:w="3812" w:type="dxa"/>
            <w:shd w:val="clear" w:color="auto" w:fill="F2F2F2" w:themeFill="background1" w:themeFillShade="F2"/>
            <w:vAlign w:val="center"/>
          </w:tcPr>
          <w:p w14:paraId="420C0CDD" w14:textId="77777777" w:rsidR="006917C0" w:rsidRDefault="006C5ED1">
            <w:pPr>
              <w:pStyle w:val="Default"/>
              <w:spacing w:after="0" w:line="240" w:lineRule="auto"/>
              <w:rPr>
                <w:sz w:val="22"/>
                <w:szCs w:val="22"/>
              </w:rPr>
            </w:pPr>
            <w:r>
              <w:rPr>
                <w:sz w:val="22"/>
                <w:szCs w:val="22"/>
              </w:rPr>
              <w:t>Conferência, identificação e transferência do imóvel contido na UC cuja categoria determina a posse e domínios públicos para o Poder Público.</w:t>
            </w:r>
          </w:p>
        </w:tc>
        <w:tc>
          <w:tcPr>
            <w:tcW w:w="2614" w:type="dxa"/>
            <w:shd w:val="clear" w:color="auto" w:fill="F2F2F2" w:themeFill="background1" w:themeFillShade="F2"/>
            <w:vAlign w:val="center"/>
          </w:tcPr>
          <w:p w14:paraId="635657A5" w14:textId="77777777" w:rsidR="006917C0" w:rsidRDefault="00C325E9" w:rsidP="00C325E9">
            <w:pPr>
              <w:pStyle w:val="Default"/>
              <w:rPr>
                <w:sz w:val="22"/>
                <w:szCs w:val="22"/>
              </w:rPr>
            </w:pPr>
            <w:r>
              <w:rPr>
                <w:sz w:val="22"/>
                <w:szCs w:val="22"/>
              </w:rPr>
              <w:t>30 dias.</w:t>
            </w:r>
          </w:p>
        </w:tc>
      </w:tr>
      <w:tr w:rsidR="006917C0" w14:paraId="56081787" w14:textId="77777777">
        <w:tc>
          <w:tcPr>
            <w:tcW w:w="2802" w:type="dxa"/>
            <w:shd w:val="clear" w:color="auto" w:fill="F2F2F2" w:themeFill="background1" w:themeFillShade="F2"/>
            <w:vAlign w:val="center"/>
          </w:tcPr>
          <w:p w14:paraId="3385AADC" w14:textId="77777777" w:rsidR="006917C0" w:rsidRDefault="006C5ED1">
            <w:pPr>
              <w:pStyle w:val="Default"/>
              <w:rPr>
                <w:sz w:val="22"/>
                <w:szCs w:val="22"/>
              </w:rPr>
            </w:pPr>
            <w:r>
              <w:rPr>
                <w:sz w:val="22"/>
                <w:szCs w:val="22"/>
              </w:rPr>
              <w:t xml:space="preserve">Transferir ao Instituto Estadual de Florestas – IEF o imóvel a ser doado </w:t>
            </w:r>
          </w:p>
        </w:tc>
        <w:tc>
          <w:tcPr>
            <w:tcW w:w="3812" w:type="dxa"/>
            <w:shd w:val="clear" w:color="auto" w:fill="F2F2F2" w:themeFill="background1" w:themeFillShade="F2"/>
            <w:vAlign w:val="center"/>
          </w:tcPr>
          <w:p w14:paraId="29F899C2" w14:textId="77777777" w:rsidR="006917C0" w:rsidRDefault="006C5ED1">
            <w:pPr>
              <w:pStyle w:val="Default"/>
              <w:rPr>
                <w:sz w:val="22"/>
                <w:szCs w:val="22"/>
              </w:rPr>
            </w:pPr>
            <w:r>
              <w:rPr>
                <w:sz w:val="22"/>
                <w:szCs w:val="22"/>
              </w:rPr>
              <w:t xml:space="preserve">Providenciar junto ao cartório de notas a lavratura da escritura pública de doação enviando ao setor responsável pela Regularização Fundiária do IEF </w:t>
            </w:r>
          </w:p>
        </w:tc>
        <w:tc>
          <w:tcPr>
            <w:tcW w:w="2614" w:type="dxa"/>
            <w:shd w:val="clear" w:color="auto" w:fill="F2F2F2" w:themeFill="background1" w:themeFillShade="F2"/>
            <w:vAlign w:val="center"/>
          </w:tcPr>
          <w:p w14:paraId="412F7E2B" w14:textId="77777777" w:rsidR="006917C0" w:rsidRDefault="006C5ED1">
            <w:pPr>
              <w:pStyle w:val="Default"/>
              <w:rPr>
                <w:sz w:val="22"/>
                <w:szCs w:val="22"/>
              </w:rPr>
            </w:pPr>
            <w:r>
              <w:rPr>
                <w:sz w:val="22"/>
                <w:szCs w:val="22"/>
              </w:rPr>
              <w:t>30 dias após recebimento da confirmação da gerência.</w:t>
            </w:r>
          </w:p>
        </w:tc>
      </w:tr>
      <w:tr w:rsidR="006917C0" w14:paraId="2E952EEC" w14:textId="77777777">
        <w:tc>
          <w:tcPr>
            <w:tcW w:w="2802" w:type="dxa"/>
            <w:shd w:val="clear" w:color="auto" w:fill="F2F2F2" w:themeFill="background1" w:themeFillShade="F2"/>
            <w:vAlign w:val="center"/>
          </w:tcPr>
          <w:p w14:paraId="0F7B8311" w14:textId="77777777" w:rsidR="006917C0" w:rsidRDefault="006C5ED1">
            <w:pPr>
              <w:pStyle w:val="Default"/>
              <w:rPr>
                <w:sz w:val="22"/>
                <w:szCs w:val="22"/>
              </w:rPr>
            </w:pPr>
            <w:r>
              <w:rPr>
                <w:sz w:val="22"/>
                <w:szCs w:val="22"/>
              </w:rPr>
              <w:t xml:space="preserve">Publicação do extrato deste Instrumento no Diário Oficial do Estado </w:t>
            </w:r>
          </w:p>
        </w:tc>
        <w:tc>
          <w:tcPr>
            <w:tcW w:w="3812" w:type="dxa"/>
            <w:shd w:val="clear" w:color="auto" w:fill="F2F2F2" w:themeFill="background1" w:themeFillShade="F2"/>
            <w:vAlign w:val="center"/>
          </w:tcPr>
          <w:p w14:paraId="105FE1AB" w14:textId="77777777" w:rsidR="006917C0" w:rsidRDefault="006C5ED1">
            <w:pPr>
              <w:pStyle w:val="Default"/>
              <w:rPr>
                <w:sz w:val="22"/>
                <w:szCs w:val="22"/>
              </w:rPr>
            </w:pPr>
            <w:r>
              <w:rPr>
                <w:sz w:val="22"/>
                <w:szCs w:val="22"/>
              </w:rPr>
              <w:t xml:space="preserve">Publicar junto ao Diário Oficial do Estado a doação do imóvel ao IEF. </w:t>
            </w:r>
          </w:p>
        </w:tc>
        <w:tc>
          <w:tcPr>
            <w:tcW w:w="2614" w:type="dxa"/>
            <w:shd w:val="clear" w:color="auto" w:fill="F2F2F2" w:themeFill="background1" w:themeFillShade="F2"/>
            <w:vAlign w:val="center"/>
          </w:tcPr>
          <w:p w14:paraId="49612354" w14:textId="77777777" w:rsidR="006917C0" w:rsidRDefault="006C5ED1">
            <w:pPr>
              <w:pStyle w:val="Default"/>
              <w:rPr>
                <w:sz w:val="22"/>
                <w:szCs w:val="22"/>
              </w:rPr>
            </w:pPr>
            <w:r>
              <w:rPr>
                <w:sz w:val="22"/>
                <w:szCs w:val="22"/>
              </w:rPr>
              <w:t xml:space="preserve">7 dias após assinatura da escritura </w:t>
            </w:r>
          </w:p>
        </w:tc>
      </w:tr>
      <w:tr w:rsidR="006917C0" w14:paraId="69440542" w14:textId="77777777">
        <w:tc>
          <w:tcPr>
            <w:tcW w:w="2802" w:type="dxa"/>
            <w:shd w:val="clear" w:color="auto" w:fill="F2F2F2" w:themeFill="background1" w:themeFillShade="F2"/>
            <w:vAlign w:val="center"/>
          </w:tcPr>
          <w:p w14:paraId="2C35F2AC" w14:textId="77777777" w:rsidR="006917C0" w:rsidRDefault="006C5ED1">
            <w:pPr>
              <w:pStyle w:val="Default"/>
              <w:rPr>
                <w:sz w:val="22"/>
                <w:szCs w:val="22"/>
              </w:rPr>
            </w:pPr>
            <w:r>
              <w:rPr>
                <w:sz w:val="22"/>
                <w:szCs w:val="22"/>
              </w:rPr>
              <w:t xml:space="preserve">Escritura de doação </w:t>
            </w:r>
          </w:p>
        </w:tc>
        <w:tc>
          <w:tcPr>
            <w:tcW w:w="3812" w:type="dxa"/>
            <w:shd w:val="clear" w:color="auto" w:fill="F2F2F2" w:themeFill="background1" w:themeFillShade="F2"/>
            <w:vAlign w:val="center"/>
          </w:tcPr>
          <w:p w14:paraId="2CAB6948" w14:textId="77777777" w:rsidR="006917C0" w:rsidRDefault="006C5ED1">
            <w:pPr>
              <w:pStyle w:val="Default"/>
              <w:rPr>
                <w:sz w:val="22"/>
                <w:szCs w:val="22"/>
              </w:rPr>
            </w:pPr>
            <w:r>
              <w:rPr>
                <w:sz w:val="22"/>
                <w:szCs w:val="22"/>
              </w:rPr>
              <w:t>Enviar ao IEF, cópia da Escritura Pública de doação da área/imóvel devidamente registrado junto ao cartório competente, bem como do extrato deste instrumento publicado no Diário Oficial do Estado.</w:t>
            </w:r>
          </w:p>
        </w:tc>
        <w:tc>
          <w:tcPr>
            <w:tcW w:w="2614" w:type="dxa"/>
            <w:shd w:val="clear" w:color="auto" w:fill="F2F2F2" w:themeFill="background1" w:themeFillShade="F2"/>
            <w:vAlign w:val="center"/>
          </w:tcPr>
          <w:p w14:paraId="46F2BCDB" w14:textId="77777777" w:rsidR="006917C0" w:rsidRDefault="006C5ED1">
            <w:pPr>
              <w:pStyle w:val="Default"/>
              <w:rPr>
                <w:sz w:val="22"/>
                <w:szCs w:val="22"/>
              </w:rPr>
            </w:pPr>
            <w:r>
              <w:rPr>
                <w:sz w:val="22"/>
                <w:szCs w:val="22"/>
              </w:rPr>
              <w:t>Até 7 dias da efetivação do registro junto ao cartório.</w:t>
            </w:r>
          </w:p>
        </w:tc>
      </w:tr>
    </w:tbl>
    <w:p w14:paraId="718A9DCC"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 xml:space="preserve">Acrescenta-se que o cumprimento total da condicionante se dará quando for concluída a doação da área proposta, com o devido registro em nome do IEF. </w:t>
      </w:r>
    </w:p>
    <w:p w14:paraId="6DD49FBB" w14:textId="77777777" w:rsidR="006917C0" w:rsidRDefault="006917C0">
      <w:pPr>
        <w:spacing w:before="120" w:after="120" w:line="240" w:lineRule="auto"/>
        <w:ind w:right="120"/>
        <w:jc w:val="both"/>
        <w:rPr>
          <w:rFonts w:eastAsia="Times New Roman" w:cstheme="minorHAnsi"/>
          <w:color w:val="000000"/>
          <w:sz w:val="26"/>
          <w:szCs w:val="26"/>
          <w:highlight w:val="yellow"/>
          <w:lang w:eastAsia="pt-BR"/>
        </w:rPr>
      </w:pPr>
    </w:p>
    <w:p w14:paraId="1100B642" w14:textId="77777777" w:rsidR="006917C0" w:rsidRDefault="006C5ED1">
      <w:pPr>
        <w:shd w:val="clear" w:color="auto" w:fill="E6E6E6"/>
        <w:spacing w:before="120" w:after="120" w:line="240" w:lineRule="auto"/>
        <w:ind w:left="120" w:right="120"/>
        <w:jc w:val="both"/>
        <w:rPr>
          <w:rFonts w:eastAsia="Times New Roman" w:cstheme="minorHAnsi"/>
          <w:b/>
          <w:bCs/>
          <w:caps/>
          <w:color w:val="000000"/>
          <w:sz w:val="26"/>
          <w:szCs w:val="26"/>
          <w:lang w:eastAsia="pt-BR"/>
        </w:rPr>
      </w:pPr>
      <w:r>
        <w:rPr>
          <w:rFonts w:eastAsia="Times New Roman" w:cstheme="minorHAnsi"/>
          <w:b/>
          <w:bCs/>
          <w:caps/>
          <w:color w:val="000000"/>
          <w:sz w:val="26"/>
          <w:szCs w:val="26"/>
          <w:lang w:eastAsia="pt-BR"/>
        </w:rPr>
        <w:t>6 - CONTROLE PROCESSUAL</w:t>
      </w:r>
    </w:p>
    <w:p w14:paraId="635CB60D"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 xml:space="preserve">Trata-se o expediente de processo visando o cumprimento de condicionante de compensações florestais minerárias estabelecidas nos autos do Processo de Licenciamento Ambiental Concomitante (LP+LI+LO), PAs COPAM </w:t>
      </w:r>
      <w:r>
        <w:rPr>
          <w:rFonts w:asciiTheme="minorHAnsi" w:hAnsiTheme="minorHAnsi" w:cstheme="minorHAnsi"/>
          <w:sz w:val="26"/>
          <w:szCs w:val="26"/>
        </w:rPr>
        <w:t>00139/2000/004/2018 e 06692/2005/003/2016</w:t>
      </w:r>
      <w:r>
        <w:rPr>
          <w:rFonts w:ascii="Calibri" w:hAnsi="Calibri" w:cs="Calibri"/>
          <w:color w:val="000000"/>
          <w:sz w:val="26"/>
          <w:szCs w:val="26"/>
        </w:rPr>
        <w:t>.  </w:t>
      </w:r>
    </w:p>
    <w:p w14:paraId="76C0F3C6"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São duas as modalidades das compensações ambientais propostas pelo empreendedor. Ei-las:</w:t>
      </w:r>
    </w:p>
    <w:p w14:paraId="6354F813"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1 - Compensação Minerária prevista no art. 27, I da Portaria IEF nº 27, de 07 de abril de 2017, que estabelece procedimentos para o  cumprimento da medida compensatória a que se refere o §2º do art. 75 da Lei  Estadual n° 20.922/2013 e dá outras providências, a qual estabelece que: </w:t>
      </w:r>
      <w:r>
        <w:rPr>
          <w:rStyle w:val="nfase"/>
          <w:rFonts w:ascii="Calibri" w:hAnsi="Calibri" w:cs="Calibri"/>
          <w:color w:val="000000"/>
          <w:sz w:val="26"/>
          <w:szCs w:val="26"/>
        </w:rPr>
        <w:t xml:space="preserve">“A </w:t>
      </w:r>
      <w:r>
        <w:rPr>
          <w:rStyle w:val="nfase"/>
          <w:rFonts w:ascii="Calibri" w:hAnsi="Calibri" w:cs="Calibri"/>
          <w:color w:val="000000"/>
          <w:sz w:val="26"/>
          <w:szCs w:val="26"/>
        </w:rPr>
        <w:lastRenderedPageBreak/>
        <w:t>compensação florestal a que se refere o §2º do art. 75 da Lei Estadual nº 20.922/2013 implica na adoção das seguintes medidas por parte do empreendedor: I - a destinação, mediante doação ao Poder Público, de área no mínimo equivalente à extensão da área efetivamente ocupada pelo  empreendimento, localizada no interior de Unidade de Conservação de Proteção Integral pendente de regularização fundiária; (...)”</w:t>
      </w:r>
      <w:r>
        <w:rPr>
          <w:rFonts w:ascii="Calibri" w:hAnsi="Calibri" w:cs="Calibri"/>
          <w:color w:val="000000"/>
          <w:sz w:val="26"/>
          <w:szCs w:val="26"/>
        </w:rPr>
        <w:t>; </w:t>
      </w:r>
    </w:p>
    <w:p w14:paraId="4DBDE890"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2 - Compensação Minerária prevista no art. 71, §2º do Decreto Estadual nº 47.749/2013, que dispõe sobre os processos de autorização para intervenção ambiental e sobre a produção florestal no âmbito do Estado de Minas Gerais e dá outras providências, a que se refere o §1º do art. 75 da Lei  Estadual n° 20.922/2013, o qual estabelece que: </w:t>
      </w:r>
      <w:r>
        <w:rPr>
          <w:rStyle w:val="nfase"/>
          <w:rFonts w:ascii="Calibri" w:hAnsi="Calibri" w:cs="Calibri"/>
          <w:color w:val="000000"/>
          <w:sz w:val="26"/>
          <w:szCs w:val="26"/>
        </w:rPr>
        <w:t>“Os empreendimentos cujos processos de instalação ou de operação corretivas tenham sido formalizados após 17 de outubro de 2013 e cuja implantação tenha ocorrido antes dessa data, ficam sujeitos ao §1º do art. 75 da Lei nº 20.922, de 2013, devendo a proposta de compensação minerária guardar equivalência com a extensão total da área de vegetação nativa suprimida desde o início da sua instalação; (...)”</w:t>
      </w:r>
    </w:p>
    <w:p w14:paraId="098FB93A"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Em termos concretos, para as duas modalidades de compensação Florestal Minerária, a incidirem sobre a ADA de </w:t>
      </w:r>
      <w:r>
        <w:rPr>
          <w:rStyle w:val="Forte"/>
          <w:rFonts w:ascii="Calibri" w:hAnsi="Calibri"/>
          <w:color w:val="000000"/>
          <w:sz w:val="26"/>
          <w:szCs w:val="26"/>
        </w:rPr>
        <w:t>33,7016</w:t>
      </w:r>
      <w:r>
        <w:rPr>
          <w:rFonts w:ascii="Calibri" w:hAnsi="Calibri" w:cs="Calibri"/>
          <w:color w:val="000000"/>
          <w:sz w:val="26"/>
          <w:szCs w:val="26"/>
        </w:rPr>
        <w:t> </w:t>
      </w:r>
      <w:r>
        <w:rPr>
          <w:rFonts w:ascii="Calibri" w:hAnsi="Calibri" w:cs="Calibri"/>
          <w:b/>
          <w:bCs/>
          <w:color w:val="000000"/>
          <w:sz w:val="26"/>
          <w:szCs w:val="26"/>
        </w:rPr>
        <w:t>hectares</w:t>
      </w:r>
      <w:r>
        <w:rPr>
          <w:rFonts w:ascii="Calibri" w:hAnsi="Calibri" w:cs="Calibri"/>
          <w:color w:val="000000"/>
          <w:sz w:val="26"/>
          <w:szCs w:val="26"/>
        </w:rPr>
        <w:t xml:space="preserve"> do empreendimento, para atendimento aos §§1º e 2º, do artigo 75, da Lei Estadual 20.922/2013, ficaram assim configuradas as compensações:</w:t>
      </w:r>
    </w:p>
    <w:p w14:paraId="69C1A289" w14:textId="77777777" w:rsidR="006917C0" w:rsidRDefault="006C5ED1">
      <w:pPr>
        <w:pStyle w:val="textojustificado"/>
        <w:numPr>
          <w:ilvl w:val="0"/>
          <w:numId w:val="1"/>
        </w:numPr>
        <w:spacing w:before="120" w:beforeAutospacing="0" w:after="120" w:afterAutospacing="0"/>
        <w:ind w:left="840" w:right="120" w:firstLine="0"/>
        <w:jc w:val="both"/>
        <w:rPr>
          <w:rFonts w:ascii="Calibri" w:hAnsi="Calibri" w:cs="Calibri"/>
          <w:color w:val="000000"/>
          <w:sz w:val="26"/>
          <w:szCs w:val="26"/>
        </w:rPr>
      </w:pPr>
      <w:r>
        <w:rPr>
          <w:rStyle w:val="Forte"/>
          <w:rFonts w:ascii="Calibri" w:hAnsi="Calibri"/>
          <w:color w:val="000000"/>
          <w:sz w:val="26"/>
          <w:szCs w:val="26"/>
        </w:rPr>
        <w:t>33,7468</w:t>
      </w:r>
      <w:r>
        <w:rPr>
          <w:rFonts w:ascii="Calibri" w:hAnsi="Calibri" w:cs="Calibri"/>
          <w:color w:val="000000"/>
          <w:sz w:val="26"/>
          <w:szCs w:val="26"/>
        </w:rPr>
        <w:t> </w:t>
      </w:r>
      <w:r>
        <w:rPr>
          <w:rStyle w:val="Forte"/>
          <w:rFonts w:ascii="Calibri" w:hAnsi="Calibri" w:cs="Calibri"/>
          <w:color w:val="000000"/>
          <w:sz w:val="26"/>
          <w:szCs w:val="26"/>
        </w:rPr>
        <w:t>ha</w:t>
      </w:r>
      <w:r>
        <w:rPr>
          <w:rFonts w:ascii="Calibri" w:hAnsi="Calibri" w:cs="Calibri"/>
          <w:color w:val="000000"/>
          <w:sz w:val="26"/>
          <w:szCs w:val="26"/>
        </w:rPr>
        <w:t> em uma propriedade denominada CAPETINGA, Certidão de Matrícula nº 13.411 (Doc. 40013195), localizada no município de Pouso Alto e registrada no CRI da Comarca de São Lourenço/MG;</w:t>
      </w:r>
    </w:p>
    <w:p w14:paraId="44855203" w14:textId="77777777" w:rsidR="006917C0" w:rsidRDefault="006C5ED1">
      <w:pPr>
        <w:pStyle w:val="textojustificado"/>
        <w:numPr>
          <w:ilvl w:val="0"/>
          <w:numId w:val="1"/>
        </w:numPr>
        <w:spacing w:before="120" w:beforeAutospacing="0" w:after="120" w:afterAutospacing="0"/>
        <w:ind w:left="840" w:right="120" w:firstLine="0"/>
        <w:jc w:val="both"/>
        <w:rPr>
          <w:rFonts w:ascii="Calibri" w:hAnsi="Calibri" w:cs="Calibri"/>
          <w:color w:val="000000"/>
          <w:sz w:val="26"/>
          <w:szCs w:val="26"/>
        </w:rPr>
      </w:pPr>
      <w:r>
        <w:rPr>
          <w:rFonts w:ascii="Calibri" w:hAnsi="Calibri" w:cs="Calibri"/>
          <w:color w:val="000000"/>
          <w:sz w:val="26"/>
          <w:szCs w:val="26"/>
        </w:rPr>
        <w:t>A propriedade está registrada no SICAR (Doc. 40013217), contudo deverá ser retificado após a relocação da RL e desmebramento da Gleba  a ser doada;</w:t>
      </w:r>
    </w:p>
    <w:p w14:paraId="49A81AAD" w14:textId="77777777" w:rsidR="006917C0" w:rsidRDefault="006C5ED1">
      <w:pPr>
        <w:pStyle w:val="textojustificado"/>
        <w:numPr>
          <w:ilvl w:val="0"/>
          <w:numId w:val="1"/>
        </w:numPr>
        <w:spacing w:before="120" w:beforeAutospacing="0" w:after="120" w:afterAutospacing="0"/>
        <w:ind w:left="840" w:right="120" w:firstLine="0"/>
        <w:jc w:val="both"/>
        <w:rPr>
          <w:rFonts w:ascii="Calibri" w:hAnsi="Calibri" w:cs="Calibri"/>
          <w:color w:val="000000"/>
          <w:sz w:val="26"/>
          <w:szCs w:val="26"/>
        </w:rPr>
      </w:pPr>
      <w:r>
        <w:rPr>
          <w:rFonts w:ascii="Calibri" w:hAnsi="Calibri" w:cs="Calibri"/>
          <w:color w:val="000000"/>
          <w:sz w:val="26"/>
          <w:szCs w:val="26"/>
        </w:rPr>
        <w:t>A área/propriedade ofertada abarca as compensações ambientais minerárias, dividindo-se em 2,9787</w:t>
      </w:r>
      <w:r>
        <w:rPr>
          <w:rFonts w:ascii="Calibri" w:hAnsi="Calibri" w:cs="Calibri"/>
          <w:color w:val="000000"/>
          <w:sz w:val="26"/>
          <w:szCs w:val="26"/>
          <w:lang w:val="en-US"/>
        </w:rPr>
        <w:t xml:space="preserve"> ha para </w:t>
      </w:r>
      <w:r>
        <w:rPr>
          <w:rFonts w:ascii="Calibri" w:hAnsi="Calibri" w:cs="Calibri"/>
          <w:color w:val="000000"/>
          <w:sz w:val="26"/>
          <w:szCs w:val="26"/>
        </w:rPr>
        <w:t>o previsto no §1º e 30,7229</w:t>
      </w:r>
      <w:r>
        <w:rPr>
          <w:rFonts w:ascii="Calibri" w:hAnsi="Calibri" w:cs="Calibri"/>
          <w:color w:val="000000"/>
          <w:sz w:val="26"/>
          <w:szCs w:val="26"/>
          <w:lang w:val="en-US"/>
        </w:rPr>
        <w:t xml:space="preserve"> para o previsto no §</w:t>
      </w:r>
      <w:r>
        <w:rPr>
          <w:rFonts w:ascii="Calibri" w:hAnsi="Calibri" w:cs="Calibri"/>
          <w:color w:val="000000"/>
          <w:sz w:val="26"/>
          <w:szCs w:val="26"/>
        </w:rPr>
        <w:t xml:space="preserve">2º, da Lei 20.922/13. </w:t>
      </w:r>
    </w:p>
    <w:p w14:paraId="511433AA"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Dessa forma, no que se refere à proporcionalidade de área, a área total do empreendimento abrange os compromissos referentes a ambos os parágrafos do artigo 75 da Lei Estadual 20.922/13, incluindo todas as estruturas adjuntas do empreendimento. Dessa forma, tem-se atendidos os §§1º e 2º, do art. 75 retrocitado, a seguir transcritos:</w:t>
      </w:r>
    </w:p>
    <w:p w14:paraId="0F0EF247" w14:textId="77777777" w:rsidR="006917C0" w:rsidRDefault="006C5ED1">
      <w:pPr>
        <w:pStyle w:val="citacao"/>
        <w:spacing w:before="80" w:beforeAutospacing="0" w:after="80" w:afterAutospacing="0"/>
        <w:ind w:left="880"/>
        <w:jc w:val="both"/>
        <w:rPr>
          <w:rFonts w:ascii="Calibri" w:hAnsi="Calibri" w:cs="Calibri"/>
          <w:color w:val="000000"/>
          <w:sz w:val="26"/>
          <w:szCs w:val="26"/>
        </w:rPr>
      </w:pPr>
      <w:r>
        <w:rPr>
          <w:rStyle w:val="nfase"/>
          <w:rFonts w:ascii="Calibri" w:hAnsi="Calibri" w:cs="Calibri"/>
          <w:color w:val="000000"/>
          <w:sz w:val="26"/>
          <w:szCs w:val="26"/>
        </w:rPr>
        <w:t>Art. 75 (...)</w:t>
      </w:r>
    </w:p>
    <w:p w14:paraId="4B714863" w14:textId="77777777" w:rsidR="006917C0" w:rsidRDefault="006C5ED1">
      <w:pPr>
        <w:pStyle w:val="citacao"/>
        <w:spacing w:before="80" w:beforeAutospacing="0" w:after="80" w:afterAutospacing="0"/>
        <w:ind w:left="880"/>
        <w:jc w:val="both"/>
        <w:rPr>
          <w:rStyle w:val="nfase"/>
          <w:rFonts w:ascii="Calibri" w:hAnsi="Calibri" w:cs="Calibri"/>
          <w:color w:val="000000"/>
          <w:sz w:val="26"/>
          <w:szCs w:val="26"/>
        </w:rPr>
      </w:pPr>
      <w:r>
        <w:rPr>
          <w:rStyle w:val="nfase"/>
          <w:rFonts w:ascii="Calibri" w:hAnsi="Calibri" w:cs="Calibri"/>
          <w:color w:val="000000"/>
          <w:sz w:val="26"/>
          <w:szCs w:val="26"/>
        </w:rPr>
        <w:t>§ 1º A área utilizada como medida compensatória nos termos do caput não será inferior àquela que tiver vegetação nativa suprimida pelo empreendimento para extração do bem mineral, construção de estradas, construções diversas, beneficiamento ou estocagem, embarque e outras finalidades.</w:t>
      </w:r>
    </w:p>
    <w:p w14:paraId="53F2D974" w14:textId="77777777" w:rsidR="006917C0" w:rsidRDefault="006C5ED1">
      <w:pPr>
        <w:pStyle w:val="citacao"/>
        <w:spacing w:before="80" w:beforeAutospacing="0" w:after="80" w:afterAutospacing="0"/>
        <w:ind w:left="880"/>
        <w:jc w:val="both"/>
        <w:rPr>
          <w:rStyle w:val="nfase"/>
          <w:rFonts w:ascii="Calibri" w:hAnsi="Calibri" w:cs="Calibri"/>
          <w:color w:val="000000"/>
          <w:sz w:val="26"/>
          <w:szCs w:val="26"/>
        </w:rPr>
      </w:pPr>
      <w:r>
        <w:rPr>
          <w:rStyle w:val="nfase"/>
          <w:rFonts w:ascii="Calibri" w:hAnsi="Calibri"/>
          <w:color w:val="000000"/>
          <w:sz w:val="26"/>
          <w:szCs w:val="26"/>
        </w:rPr>
        <w:lastRenderedPageBreak/>
        <w:t>§ 2º – O empreendimento minerário em processo de regularização ambiental ou já regularizado que ainda não tenha cumprido, até a data de publicação desta Lei, a medida compensatória instituída pelo art. 36 da Lei nº 14.309, de 19 de junho de 2002, continuará sujeito ao cumprimento das obrigações estabelecidas no artigo citado.</w:t>
      </w:r>
    </w:p>
    <w:p w14:paraId="268D08AA" w14:textId="77777777" w:rsidR="006917C0" w:rsidRDefault="006C5ED1">
      <w:pPr>
        <w:pStyle w:val="citacao"/>
        <w:spacing w:before="80" w:beforeAutospacing="0" w:after="80" w:afterAutospacing="0"/>
        <w:ind w:left="880"/>
        <w:jc w:val="both"/>
        <w:rPr>
          <w:rFonts w:ascii="Calibri" w:hAnsi="Calibri" w:cs="Calibri"/>
          <w:color w:val="000000"/>
          <w:sz w:val="26"/>
          <w:szCs w:val="26"/>
        </w:rPr>
      </w:pPr>
      <w:r>
        <w:rPr>
          <w:rStyle w:val="nfase"/>
          <w:rFonts w:ascii="Calibri" w:hAnsi="Calibri" w:cs="Calibri"/>
          <w:color w:val="000000"/>
          <w:sz w:val="26"/>
          <w:szCs w:val="26"/>
        </w:rPr>
        <w:t>(...)</w:t>
      </w:r>
    </w:p>
    <w:p w14:paraId="0B922D37"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No que se refere ao critério da localização quanto à Bacia Hidrográfica, prevista no §4º, referente ao §2º, do art. 75, da Lei 20.922/13, temos que o empreendimento está localizado na Sub Bacia Hidrográfica do Rio Verde (UPGRH: GD4) e o imóvel objeto da compensação ambiental minerária se localiza na Bacia do Rio Grande, onde se insere o GD4. Portanto, critério atendido.</w:t>
      </w:r>
    </w:p>
    <w:p w14:paraId="01DD4717"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Importante salientar que o empreendedor</w:t>
      </w:r>
      <w:r>
        <w:rPr>
          <w:rStyle w:val="Forte"/>
          <w:rFonts w:ascii="Calibri" w:hAnsi="Calibri"/>
          <w:b w:val="0"/>
          <w:bCs w:val="0"/>
          <w:color w:val="000000"/>
          <w:sz w:val="26"/>
          <w:szCs w:val="26"/>
        </w:rPr>
        <w:t xml:space="preserve"> apresentou instrumento pactual denominado “INSTRUMENTO PARTICULAR DE VENDA E COMPRA DE BEM IMÓVEL RURAL E OUTRAS AVENÇAS”, celebrado com o proprietário, senhor Sílvio de Souza Oliveira Filho, negociando a área, a qual deverá ser desmembrada da Matrícula e posteriormente doada ao IEF, visando o cumprimento da compensação florestal minerária”.</w:t>
      </w:r>
      <w:r>
        <w:rPr>
          <w:rFonts w:ascii="Calibri" w:hAnsi="Calibri" w:cs="Calibri"/>
          <w:color w:val="000000"/>
          <w:sz w:val="26"/>
          <w:szCs w:val="26"/>
        </w:rPr>
        <w:t xml:space="preserve"> (Doc. 40013223).</w:t>
      </w:r>
    </w:p>
    <w:p w14:paraId="20FCE1FF"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A área objeto da futura doação ao IEF está localizada no interior do Parque Estadual Serra do Papagaio, Unidade de Conservação de Proteção Integral, porém consta uma Gleba fora dos limites da UC, a qual será desmembrada. Consta, no processo, análise da Gerência de Compensação Ambiental e Regularização Fundiária - GCARF, atestando que o imóvel está  localizado no interior do Parque Estadual Serra do Papagaio (Docs. 45179697 e 45179851).</w:t>
      </w:r>
    </w:p>
    <w:p w14:paraId="2076C6A9"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O empreendedor informa no PECF que a</w:t>
      </w:r>
      <w:r>
        <w:rPr>
          <w:rFonts w:ascii="Calibri" w:hAnsi="Calibri"/>
          <w:color w:val="000000"/>
          <w:sz w:val="26"/>
          <w:szCs w:val="26"/>
        </w:rPr>
        <w:t xml:space="preserve"> propriedade em questão tem uma Reserva Legal averbada, e que tomará as seguintes ações sobre isso: a) a RL será relocada para a Gleba localizada fora dos limites do PESP; b) após esse procedimento será realizado o desmembramento da propriedade, gerando nova Certidão de Matrícula referente à área que será doada ao IEF.</w:t>
      </w:r>
    </w:p>
    <w:p w14:paraId="07B015C4"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A certidão do imóvel é datada do ano de 1995, discorrendo a cadeia dominial no tempo, comprovando a atual propriedade particular dos imóveis e demonstrando, por si só, a pendência fundiária da área a ser doada.</w:t>
      </w:r>
    </w:p>
    <w:p w14:paraId="093FC7EA"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Não obstante, entendemos ser desnecessário aguardar os trâmites propostos no PECF quanto à situação da Reserva Legal do imóvel, considerando o previsto no art. 68, do Decreto Estadual nº 47.749/19, que permite a doação ao Poder Público, de áreas consideradas</w:t>
      </w:r>
      <w:r>
        <w:rPr>
          <w:rFonts w:ascii="Calibri" w:hAnsi="Calibri"/>
          <w:color w:val="000000"/>
          <w:sz w:val="26"/>
          <w:szCs w:val="26"/>
        </w:rPr>
        <w:t xml:space="preserve"> APP e Reserva Legal, quando relacionadas ao imóvel original ou ao seu desmembramento,</w:t>
      </w:r>
      <w:r>
        <w:rPr>
          <w:rFonts w:ascii="Calibri" w:hAnsi="Calibri" w:cs="Calibri"/>
          <w:color w:val="000000"/>
          <w:sz w:val="26"/>
          <w:szCs w:val="26"/>
        </w:rPr>
        <w:t xml:space="preserve"> senão vejamos:</w:t>
      </w:r>
    </w:p>
    <w:p w14:paraId="6EE508F6" w14:textId="77777777" w:rsidR="006917C0" w:rsidRDefault="006C5ED1">
      <w:pPr>
        <w:pStyle w:val="textojustificado"/>
        <w:spacing w:before="120" w:beforeAutospacing="0" w:after="120" w:afterAutospacing="0"/>
        <w:ind w:left="880" w:right="120"/>
        <w:jc w:val="both"/>
        <w:rPr>
          <w:rFonts w:ascii="Calibri" w:hAnsi="Calibri" w:cs="Calibri"/>
          <w:i/>
          <w:iCs/>
          <w:color w:val="000000"/>
          <w:sz w:val="26"/>
          <w:szCs w:val="26"/>
        </w:rPr>
      </w:pPr>
      <w:r>
        <w:rPr>
          <w:rFonts w:ascii="Calibri" w:hAnsi="Calibri"/>
          <w:i/>
          <w:iCs/>
          <w:color w:val="000000"/>
          <w:sz w:val="26"/>
          <w:szCs w:val="26"/>
        </w:rPr>
        <w:t>Art. 68 – Quando do cumprimento da compensação por meio da destinação de áreas ao Poder Público poderão ser aceitas áreas que incluam APP e Reserva Legal desde que relacionadas ao imóvel original ou ao seu desmembramento, quando for o caso.</w:t>
      </w:r>
    </w:p>
    <w:p w14:paraId="6395C4F8"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lastRenderedPageBreak/>
        <w:t>Destarte, após o desmembramento da área a ser doada ao IEF, o proprietário da área remanescente localizada fora dos limites da Unidade de Conservação poderá regularizar sua nova Reserva Legal através do Sistema Nacional de Cadastro Ambiental Rural  SICAR.</w:t>
      </w:r>
    </w:p>
    <w:p w14:paraId="03B244D3"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Ressalta-se, ainda, que a proposta de compensação apresentada pelo empreendedor está em conformidade com a legislação vigente, notadamente com as prerrogativas estabelecidas no artigo 75, da Lei nº 20.922/2013, não havendo ônus reais, nem ações reais ou pessoais reipercusórias, que recaiam sobre os imóveis, conforme atesta a certidão de inteiro teor atualizada (Doc. 40013195 pg. 4).</w:t>
      </w:r>
    </w:p>
    <w:p w14:paraId="69070740"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O processo encontra-se devidamente formalizado e instruído com a documentação exigida pela Portaria IEF nº 27/2017, sendo que o empreendedor encaminhou todos os documentos solicitados, os quais, após análise abonam a proposta em questão.</w:t>
      </w:r>
    </w:p>
    <w:p w14:paraId="4DAE0FB8"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rPr>
      </w:pPr>
      <w:r>
        <w:rPr>
          <w:rFonts w:ascii="Calibri" w:hAnsi="Calibri" w:cs="Calibri"/>
          <w:color w:val="000000"/>
          <w:sz w:val="26"/>
          <w:szCs w:val="26"/>
        </w:rPr>
        <w:t>Imprescindível asseverar que, caso a presente proposta seja aprovada pela CPB/COPAM, o empreendedor se comprometerá, via assinatura de Termo de Compromisso de Compensação Florestal Minerária – TCCFM, a proceder a doação da área mediante a lavratura de escritura pública de doação do imóvel ao órgão gestor da unidade e consequente registro perante o Cartório de Registro de Imóveis competente.</w:t>
      </w:r>
    </w:p>
    <w:p w14:paraId="299DEE25" w14:textId="77777777" w:rsidR="006917C0" w:rsidRDefault="006C5ED1">
      <w:pPr>
        <w:pStyle w:val="textojustificado"/>
        <w:spacing w:before="120" w:beforeAutospacing="0" w:after="120" w:afterAutospacing="0"/>
        <w:ind w:left="120" w:right="120"/>
        <w:jc w:val="both"/>
        <w:rPr>
          <w:rFonts w:ascii="Calibri" w:hAnsi="Calibri" w:cs="Calibri"/>
          <w:color w:val="000000"/>
          <w:sz w:val="26"/>
          <w:szCs w:val="26"/>
          <w:highlight w:val="yellow"/>
        </w:rPr>
      </w:pPr>
      <w:r>
        <w:rPr>
          <w:rFonts w:ascii="Calibri" w:hAnsi="Calibri" w:cs="Calibri"/>
          <w:color w:val="000000"/>
          <w:sz w:val="26"/>
          <w:szCs w:val="26"/>
        </w:rPr>
        <w:t>Assim, uma vez que a documentação exigida, bem como, a proposta apresentada atende aos requisitos técnicos e legais, entende-se que não há óbice para o acatamento da proposta.</w:t>
      </w:r>
    </w:p>
    <w:p w14:paraId="2AC5D54A" w14:textId="77777777" w:rsidR="006917C0" w:rsidRDefault="006917C0">
      <w:pPr>
        <w:spacing w:before="120" w:after="120" w:line="240" w:lineRule="auto"/>
        <w:ind w:right="120"/>
        <w:jc w:val="both"/>
        <w:rPr>
          <w:rFonts w:eastAsia="Times New Roman" w:cstheme="minorHAnsi"/>
          <w:color w:val="000000"/>
          <w:sz w:val="26"/>
          <w:szCs w:val="26"/>
          <w:highlight w:val="yellow"/>
          <w:lang w:eastAsia="pt-BR"/>
        </w:rPr>
      </w:pPr>
    </w:p>
    <w:p w14:paraId="0294352E" w14:textId="77777777" w:rsidR="006917C0" w:rsidRDefault="006C5ED1">
      <w:pPr>
        <w:shd w:val="clear" w:color="auto" w:fill="E6E6E6"/>
        <w:spacing w:before="120" w:after="120" w:line="240" w:lineRule="auto"/>
        <w:ind w:left="120" w:right="120"/>
        <w:jc w:val="both"/>
        <w:rPr>
          <w:rFonts w:ascii="Arial" w:hAnsi="Arial" w:cs="Arial"/>
        </w:rPr>
      </w:pPr>
      <w:r>
        <w:rPr>
          <w:rFonts w:eastAsia="Times New Roman" w:cstheme="minorHAnsi"/>
          <w:b/>
          <w:bCs/>
          <w:caps/>
          <w:color w:val="000000"/>
          <w:sz w:val="26"/>
          <w:szCs w:val="26"/>
          <w:lang w:eastAsia="pt-BR"/>
        </w:rPr>
        <w:t>7 - CONCLUSÃO</w:t>
      </w:r>
    </w:p>
    <w:p w14:paraId="0AC8C928" w14:textId="77777777" w:rsidR="006917C0" w:rsidRDefault="006917C0">
      <w:pPr>
        <w:spacing w:before="120" w:after="120" w:line="240" w:lineRule="auto"/>
        <w:ind w:right="-426"/>
        <w:jc w:val="both"/>
        <w:rPr>
          <w:rFonts w:cs="Arial"/>
          <w:sz w:val="26"/>
          <w:szCs w:val="26"/>
        </w:rPr>
      </w:pPr>
    </w:p>
    <w:p w14:paraId="53D9B3C9" w14:textId="77777777" w:rsidR="006917C0" w:rsidRDefault="006C5ED1">
      <w:pPr>
        <w:spacing w:before="120" w:after="120" w:line="240" w:lineRule="auto"/>
        <w:ind w:right="-426"/>
        <w:jc w:val="both"/>
        <w:rPr>
          <w:rFonts w:cs="Arial"/>
          <w:sz w:val="26"/>
          <w:szCs w:val="26"/>
        </w:rPr>
      </w:pPr>
      <w:r>
        <w:rPr>
          <w:rFonts w:cs="Arial"/>
          <w:sz w:val="26"/>
          <w:szCs w:val="26"/>
        </w:rPr>
        <w:t>Considerando-se a análise realizada, infere-se que o presente processo encontra-se apto para deliberação pela Câmara de Proteção à Biodiversidade e Áreas Protegidas - CPB do COPAM, nos termos do Art. 13 do Decreto Estadual nº 46.953/2016, o qual dispõe sobre a organização do Conselho Estadual de Política Ambiental – COPAM, de que trata a Lei nº 21.972, de 21 de janeiro de 2016.</w:t>
      </w:r>
    </w:p>
    <w:p w14:paraId="61D315F4" w14:textId="77777777" w:rsidR="006917C0" w:rsidRDefault="006C5ED1">
      <w:pPr>
        <w:spacing w:before="120" w:after="120" w:line="240" w:lineRule="auto"/>
        <w:ind w:right="-426"/>
        <w:jc w:val="both"/>
        <w:rPr>
          <w:rFonts w:cs="Arial"/>
          <w:sz w:val="26"/>
          <w:szCs w:val="26"/>
        </w:rPr>
      </w:pPr>
      <w:r>
        <w:rPr>
          <w:rFonts w:cs="Arial"/>
          <w:sz w:val="26"/>
          <w:szCs w:val="26"/>
        </w:rPr>
        <w:t xml:space="preserve">Outrossim, considerando os aspectos técnicos descritos e analisados, bem como a inexistência de óbices jurídicos no cumprimento da proposta da Compensação Florestal Minerária em tela, este Parecer é pelo deferimento da proposta de compensação florestal apresentada pelo empreendedor nos termos do PECFM analisado. </w:t>
      </w:r>
    </w:p>
    <w:p w14:paraId="79FE0A6D" w14:textId="77777777" w:rsidR="006917C0" w:rsidRDefault="006C5ED1">
      <w:pPr>
        <w:spacing w:before="120" w:after="120" w:line="240" w:lineRule="auto"/>
        <w:ind w:right="-426"/>
        <w:jc w:val="both"/>
        <w:rPr>
          <w:rFonts w:cs="Arial"/>
          <w:sz w:val="26"/>
          <w:szCs w:val="26"/>
        </w:rPr>
      </w:pPr>
      <w:r>
        <w:rPr>
          <w:rFonts w:cs="Arial"/>
          <w:sz w:val="26"/>
          <w:szCs w:val="26"/>
        </w:rPr>
        <w:t>Ressalta-se, finalmente, que o cumprimento da compensação minerária em tela não exclui a obrigação de o empreendedor atender às demais condicionantes definidas no âmbito do processo de licenciamento ambiental.</w:t>
      </w:r>
    </w:p>
    <w:p w14:paraId="21E3012B" w14:textId="77777777" w:rsidR="006917C0" w:rsidRDefault="006C5ED1">
      <w:pPr>
        <w:spacing w:before="120" w:after="120" w:line="240" w:lineRule="auto"/>
        <w:ind w:left="120" w:right="120" w:firstLine="1418"/>
        <w:jc w:val="both"/>
        <w:rPr>
          <w:rFonts w:eastAsia="Times New Roman" w:cstheme="minorHAnsi"/>
          <w:color w:val="000000"/>
          <w:sz w:val="26"/>
          <w:szCs w:val="26"/>
          <w:lang w:eastAsia="pt-BR"/>
        </w:rPr>
      </w:pPr>
      <w:r>
        <w:rPr>
          <w:rFonts w:eastAsia="Times New Roman" w:cstheme="minorHAnsi"/>
          <w:color w:val="000000"/>
          <w:sz w:val="26"/>
          <w:szCs w:val="26"/>
          <w:lang w:eastAsia="pt-BR"/>
        </w:rPr>
        <w:lastRenderedPageBreak/>
        <w:t> </w:t>
      </w:r>
    </w:p>
    <w:p w14:paraId="1CB094FB"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Este é o parecer.</w:t>
      </w:r>
    </w:p>
    <w:p w14:paraId="3D502A2A" w14:textId="77777777" w:rsidR="006917C0" w:rsidRDefault="006917C0">
      <w:pPr>
        <w:spacing w:before="120" w:after="120" w:line="240" w:lineRule="auto"/>
        <w:ind w:left="120" w:right="120" w:firstLine="1418"/>
        <w:jc w:val="both"/>
        <w:rPr>
          <w:rFonts w:eastAsia="Times New Roman" w:cstheme="minorHAnsi"/>
          <w:color w:val="000000"/>
          <w:sz w:val="26"/>
          <w:szCs w:val="26"/>
          <w:lang w:eastAsia="pt-BR"/>
        </w:rPr>
      </w:pPr>
    </w:p>
    <w:p w14:paraId="476E63F3"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Varginha, ____de __________de 2022.</w:t>
      </w:r>
    </w:p>
    <w:p w14:paraId="70FD412F" w14:textId="77777777" w:rsidR="006917C0" w:rsidRDefault="006C5ED1">
      <w:pPr>
        <w:spacing w:before="120" w:after="120" w:line="240" w:lineRule="auto"/>
        <w:ind w:left="120" w:right="120" w:firstLine="1418"/>
        <w:jc w:val="both"/>
        <w:rPr>
          <w:rFonts w:eastAsia="Times New Roman" w:cstheme="minorHAnsi"/>
          <w:color w:val="000000"/>
          <w:sz w:val="26"/>
          <w:szCs w:val="26"/>
          <w:lang w:eastAsia="pt-BR"/>
        </w:rPr>
      </w:pPr>
      <w:r>
        <w:rPr>
          <w:rFonts w:eastAsia="Times New Roman" w:cstheme="minorHAnsi"/>
          <w:color w:val="000000"/>
          <w:sz w:val="26"/>
          <w:szCs w:val="26"/>
          <w:lang w:eastAsia="pt-BR"/>
        </w:rPr>
        <w:t> </w:t>
      </w:r>
    </w:p>
    <w:p w14:paraId="3EBA9518" w14:textId="77777777" w:rsidR="006917C0" w:rsidRDefault="006C5ED1">
      <w:pPr>
        <w:spacing w:before="120" w:after="120" w:line="240" w:lineRule="auto"/>
        <w:ind w:left="120" w:right="120" w:firstLine="1418"/>
        <w:jc w:val="both"/>
        <w:rPr>
          <w:rFonts w:eastAsia="Times New Roman" w:cstheme="minorHAnsi"/>
          <w:color w:val="000000"/>
          <w:sz w:val="26"/>
          <w:szCs w:val="26"/>
          <w:lang w:eastAsia="pt-BR"/>
        </w:rPr>
      </w:pPr>
      <w:r>
        <w:rPr>
          <w:rFonts w:eastAsia="Times New Roman" w:cstheme="minorHAnsi"/>
          <w:color w:val="000000"/>
          <w:sz w:val="26"/>
          <w:szCs w:val="26"/>
          <w:lang w:eastAsia="pt-BR"/>
        </w:rPr>
        <w:t> </w:t>
      </w:r>
    </w:p>
    <w:p w14:paraId="16F69EA6"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Equipe de análise técnica:</w:t>
      </w:r>
    </w:p>
    <w:p w14:paraId="0E31137C" w14:textId="77777777" w:rsidR="006917C0" w:rsidRDefault="006917C0">
      <w:pPr>
        <w:spacing w:before="120" w:after="120" w:line="240" w:lineRule="auto"/>
        <w:ind w:right="120"/>
        <w:jc w:val="both"/>
        <w:rPr>
          <w:rFonts w:eastAsia="Times New Roman" w:cstheme="minorHAnsi"/>
          <w:color w:val="000000"/>
          <w:sz w:val="26"/>
          <w:szCs w:val="26"/>
          <w:lang w:eastAsia="pt-BR"/>
        </w:rPr>
      </w:pPr>
    </w:p>
    <w:p w14:paraId="0BC532F9" w14:textId="77777777" w:rsidR="006917C0" w:rsidRDefault="006C5ED1">
      <w:pPr>
        <w:spacing w:before="120" w:after="120" w:line="240" w:lineRule="auto"/>
        <w:ind w:left="120" w:right="120" w:firstLine="1418"/>
        <w:jc w:val="both"/>
        <w:rPr>
          <w:rFonts w:eastAsia="Times New Roman" w:cstheme="minorHAnsi"/>
          <w:i/>
          <w:color w:val="000000"/>
          <w:sz w:val="26"/>
          <w:szCs w:val="26"/>
          <w:lang w:eastAsia="pt-BR"/>
        </w:rPr>
      </w:pPr>
      <w:r>
        <w:rPr>
          <w:rFonts w:eastAsia="Times New Roman" w:cstheme="minorHAnsi"/>
          <w:i/>
          <w:color w:val="000000"/>
          <w:sz w:val="26"/>
          <w:szCs w:val="26"/>
          <w:lang w:eastAsia="pt-BR"/>
        </w:rPr>
        <w:t>“Assinado digitalmente”</w:t>
      </w:r>
    </w:p>
    <w:p w14:paraId="27413368" w14:textId="77777777" w:rsidR="006917C0" w:rsidRDefault="006C5ED1">
      <w:pPr>
        <w:spacing w:before="120" w:after="120" w:line="240" w:lineRule="auto"/>
        <w:ind w:left="120" w:right="120" w:firstLine="1418"/>
        <w:jc w:val="both"/>
        <w:rPr>
          <w:rFonts w:eastAsia="Times New Roman" w:cstheme="minorHAnsi"/>
          <w:color w:val="000000"/>
          <w:sz w:val="26"/>
          <w:szCs w:val="26"/>
          <w:lang w:eastAsia="pt-BR"/>
        </w:rPr>
      </w:pPr>
      <w:r>
        <w:rPr>
          <w:rFonts w:eastAsia="Times New Roman" w:cstheme="minorHAnsi"/>
          <w:color w:val="000000"/>
          <w:sz w:val="26"/>
          <w:szCs w:val="26"/>
          <w:lang w:eastAsia="pt-BR"/>
        </w:rPr>
        <w:t>Amilton Ferri Vasconcelos</w:t>
      </w:r>
    </w:p>
    <w:p w14:paraId="0B5DD20F" w14:textId="77777777" w:rsidR="006917C0" w:rsidRDefault="006C5ED1">
      <w:pPr>
        <w:spacing w:before="120" w:after="120" w:line="240" w:lineRule="auto"/>
        <w:ind w:left="120" w:right="120" w:firstLine="1418"/>
        <w:jc w:val="both"/>
        <w:rPr>
          <w:rFonts w:eastAsia="Times New Roman" w:cstheme="minorHAnsi"/>
          <w:b/>
          <w:bCs/>
          <w:color w:val="000000"/>
          <w:sz w:val="26"/>
          <w:szCs w:val="26"/>
          <w:lang w:eastAsia="pt-BR"/>
        </w:rPr>
      </w:pPr>
      <w:r>
        <w:rPr>
          <w:rFonts w:eastAsia="Times New Roman" w:cstheme="minorHAnsi"/>
          <w:b/>
          <w:bCs/>
          <w:color w:val="000000"/>
          <w:sz w:val="26"/>
          <w:szCs w:val="26"/>
          <w:lang w:eastAsia="pt-BR"/>
        </w:rPr>
        <w:t>Coordenador do Núcleo de Biodiversidade</w:t>
      </w:r>
    </w:p>
    <w:p w14:paraId="2950428C" w14:textId="77777777" w:rsidR="006917C0" w:rsidRDefault="006917C0">
      <w:pPr>
        <w:spacing w:before="120" w:after="120" w:line="240" w:lineRule="auto"/>
        <w:ind w:left="120" w:right="120" w:firstLine="1418"/>
        <w:jc w:val="both"/>
        <w:rPr>
          <w:rFonts w:eastAsia="Times New Roman" w:cstheme="minorHAnsi"/>
          <w:color w:val="000000"/>
          <w:sz w:val="26"/>
          <w:szCs w:val="26"/>
          <w:lang w:eastAsia="pt-BR"/>
        </w:rPr>
      </w:pPr>
    </w:p>
    <w:p w14:paraId="0715B813" w14:textId="77777777" w:rsidR="006917C0" w:rsidRDefault="006C5ED1">
      <w:pPr>
        <w:spacing w:before="120" w:after="120" w:line="240" w:lineRule="auto"/>
        <w:ind w:left="120" w:right="120" w:firstLine="1418"/>
        <w:jc w:val="both"/>
        <w:rPr>
          <w:rFonts w:eastAsia="Times New Roman" w:cstheme="minorHAnsi"/>
          <w:i/>
          <w:color w:val="000000"/>
          <w:sz w:val="26"/>
          <w:szCs w:val="26"/>
          <w:lang w:eastAsia="pt-BR"/>
        </w:rPr>
      </w:pPr>
      <w:r>
        <w:rPr>
          <w:rFonts w:eastAsia="Times New Roman" w:cstheme="minorHAnsi"/>
          <w:i/>
          <w:color w:val="000000"/>
          <w:sz w:val="26"/>
          <w:szCs w:val="26"/>
          <w:lang w:eastAsia="pt-BR"/>
        </w:rPr>
        <w:t>“Assinado digitalmente”</w:t>
      </w:r>
    </w:p>
    <w:p w14:paraId="674361C1" w14:textId="77777777" w:rsidR="006917C0" w:rsidRDefault="006C5ED1">
      <w:pPr>
        <w:spacing w:before="120" w:after="120" w:line="240" w:lineRule="auto"/>
        <w:ind w:left="120" w:right="120" w:firstLine="1418"/>
        <w:jc w:val="both"/>
        <w:rPr>
          <w:rFonts w:eastAsia="Times New Roman" w:cstheme="minorHAnsi"/>
          <w:color w:val="000000"/>
          <w:sz w:val="26"/>
          <w:szCs w:val="26"/>
          <w:lang w:eastAsia="pt-BR"/>
        </w:rPr>
      </w:pPr>
      <w:r>
        <w:rPr>
          <w:rFonts w:eastAsia="Times New Roman" w:cstheme="minorHAnsi"/>
          <w:color w:val="000000"/>
          <w:sz w:val="26"/>
          <w:szCs w:val="26"/>
          <w:lang w:eastAsia="pt-BR"/>
        </w:rPr>
        <w:t>Ronaldo Carvalho de Figueiredo</w:t>
      </w:r>
    </w:p>
    <w:p w14:paraId="1F0A1370" w14:textId="77777777" w:rsidR="006917C0" w:rsidRDefault="006C5ED1">
      <w:pPr>
        <w:spacing w:before="120" w:after="120" w:line="240" w:lineRule="auto"/>
        <w:ind w:left="120" w:right="120" w:firstLine="1418"/>
        <w:jc w:val="both"/>
        <w:rPr>
          <w:rFonts w:eastAsia="Times New Roman" w:cstheme="minorHAnsi"/>
          <w:color w:val="000000"/>
          <w:sz w:val="26"/>
          <w:szCs w:val="26"/>
          <w:lang w:eastAsia="pt-BR"/>
        </w:rPr>
      </w:pPr>
      <w:r>
        <w:rPr>
          <w:rFonts w:eastAsia="Times New Roman" w:cstheme="minorHAnsi"/>
          <w:b/>
          <w:bCs/>
          <w:color w:val="000000"/>
          <w:sz w:val="26"/>
          <w:szCs w:val="26"/>
          <w:lang w:eastAsia="pt-BR"/>
        </w:rPr>
        <w:t>Coordenador do Núcleo de Controle Processual</w:t>
      </w:r>
    </w:p>
    <w:p w14:paraId="60987FDC" w14:textId="77777777" w:rsidR="006917C0" w:rsidRDefault="006C5ED1">
      <w:pPr>
        <w:spacing w:before="120" w:after="120" w:line="240" w:lineRule="auto"/>
        <w:ind w:right="120"/>
        <w:jc w:val="both"/>
        <w:rPr>
          <w:rFonts w:eastAsia="Times New Roman" w:cstheme="minorHAnsi"/>
          <w:color w:val="000000"/>
          <w:sz w:val="26"/>
          <w:szCs w:val="26"/>
          <w:lang w:eastAsia="pt-BR"/>
        </w:rPr>
      </w:pPr>
      <w:r>
        <w:rPr>
          <w:rFonts w:eastAsia="Times New Roman" w:cstheme="minorHAnsi"/>
          <w:color w:val="000000"/>
          <w:sz w:val="26"/>
          <w:szCs w:val="26"/>
          <w:lang w:eastAsia="pt-BR"/>
        </w:rPr>
        <w:t>De acordo,</w:t>
      </w:r>
    </w:p>
    <w:p w14:paraId="556E0266" w14:textId="77777777" w:rsidR="006917C0" w:rsidRDefault="006C5ED1">
      <w:pPr>
        <w:spacing w:before="120" w:after="120" w:line="240" w:lineRule="auto"/>
        <w:ind w:left="120" w:right="120" w:firstLine="1418"/>
        <w:jc w:val="both"/>
        <w:rPr>
          <w:rFonts w:eastAsia="Times New Roman" w:cstheme="minorHAnsi"/>
          <w:color w:val="000000"/>
          <w:sz w:val="26"/>
          <w:szCs w:val="26"/>
          <w:lang w:eastAsia="pt-BR"/>
        </w:rPr>
      </w:pPr>
      <w:r>
        <w:rPr>
          <w:rFonts w:eastAsia="Times New Roman" w:cstheme="minorHAnsi"/>
          <w:color w:val="000000"/>
          <w:sz w:val="26"/>
          <w:szCs w:val="26"/>
          <w:lang w:eastAsia="pt-BR"/>
        </w:rPr>
        <w:t> </w:t>
      </w:r>
    </w:p>
    <w:p w14:paraId="785ED6F9" w14:textId="77777777" w:rsidR="006917C0" w:rsidRDefault="006C5ED1">
      <w:pPr>
        <w:spacing w:before="120" w:after="120" w:line="240" w:lineRule="auto"/>
        <w:ind w:left="120" w:right="120" w:firstLine="1418"/>
        <w:jc w:val="both"/>
        <w:rPr>
          <w:rFonts w:eastAsia="Times New Roman" w:cstheme="minorHAnsi"/>
          <w:i/>
          <w:color w:val="000000"/>
          <w:sz w:val="26"/>
          <w:szCs w:val="26"/>
          <w:lang w:eastAsia="pt-BR"/>
        </w:rPr>
      </w:pPr>
      <w:r>
        <w:rPr>
          <w:rFonts w:eastAsia="Times New Roman" w:cstheme="minorHAnsi"/>
          <w:color w:val="000000"/>
          <w:sz w:val="26"/>
          <w:szCs w:val="26"/>
          <w:lang w:eastAsia="pt-BR"/>
        </w:rPr>
        <w:t> “</w:t>
      </w:r>
      <w:r>
        <w:rPr>
          <w:rFonts w:eastAsia="Times New Roman" w:cstheme="minorHAnsi"/>
          <w:i/>
          <w:color w:val="000000"/>
          <w:sz w:val="26"/>
          <w:szCs w:val="26"/>
          <w:lang w:eastAsia="pt-BR"/>
        </w:rPr>
        <w:t>Assinado digitalmente”</w:t>
      </w:r>
    </w:p>
    <w:p w14:paraId="6969F914" w14:textId="77777777" w:rsidR="006917C0" w:rsidRDefault="006C5ED1">
      <w:pPr>
        <w:spacing w:before="120" w:after="120" w:line="240" w:lineRule="auto"/>
        <w:ind w:left="120" w:right="120" w:firstLine="1418"/>
        <w:jc w:val="both"/>
        <w:rPr>
          <w:rFonts w:eastAsia="Times New Roman" w:cstheme="minorHAnsi"/>
          <w:color w:val="000000"/>
          <w:sz w:val="26"/>
          <w:szCs w:val="26"/>
          <w:lang w:eastAsia="pt-BR"/>
        </w:rPr>
      </w:pPr>
      <w:r>
        <w:rPr>
          <w:rFonts w:eastAsia="Times New Roman" w:cstheme="minorHAnsi"/>
          <w:color w:val="000000"/>
          <w:sz w:val="26"/>
          <w:szCs w:val="26"/>
          <w:lang w:eastAsia="pt-BR"/>
        </w:rPr>
        <w:t>Anderson Ramiro de Siqueira</w:t>
      </w:r>
    </w:p>
    <w:p w14:paraId="21856064" w14:textId="77777777" w:rsidR="006917C0" w:rsidRDefault="006C5ED1">
      <w:pPr>
        <w:spacing w:before="120" w:after="120" w:line="240" w:lineRule="auto"/>
        <w:ind w:left="120" w:right="120" w:firstLine="1418"/>
        <w:jc w:val="both"/>
        <w:rPr>
          <w:rFonts w:eastAsia="Times New Roman" w:cstheme="minorHAnsi"/>
          <w:color w:val="000000"/>
          <w:sz w:val="26"/>
          <w:szCs w:val="26"/>
          <w:lang w:eastAsia="pt-BR"/>
        </w:rPr>
      </w:pPr>
      <w:r>
        <w:rPr>
          <w:rFonts w:eastAsia="Times New Roman" w:cstheme="minorHAnsi"/>
          <w:b/>
          <w:bCs/>
          <w:color w:val="000000"/>
          <w:sz w:val="26"/>
          <w:szCs w:val="26"/>
          <w:lang w:eastAsia="pt-BR"/>
        </w:rPr>
        <w:t xml:space="preserve">Supervisor </w:t>
      </w:r>
      <w:r>
        <w:rPr>
          <w:rFonts w:eastAsia="Times New Roman" w:cstheme="minorHAnsi"/>
          <w:b/>
          <w:bCs/>
          <w:color w:val="000000"/>
          <w:sz w:val="26"/>
          <w:szCs w:val="26"/>
          <w:lang w:val="en-US" w:eastAsia="pt-BR"/>
        </w:rPr>
        <w:t>da</w:t>
      </w:r>
      <w:r>
        <w:rPr>
          <w:rFonts w:eastAsia="Times New Roman" w:cstheme="minorHAnsi"/>
          <w:b/>
          <w:bCs/>
          <w:color w:val="000000"/>
          <w:sz w:val="26"/>
          <w:szCs w:val="26"/>
          <w:lang w:eastAsia="pt-BR"/>
        </w:rPr>
        <w:t xml:space="preserve"> URFBio Sul</w:t>
      </w:r>
    </w:p>
    <w:sectPr w:rsidR="006917C0">
      <w:footerReference w:type="default" r:id="rId14"/>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53BF71" w14:textId="77777777" w:rsidR="00B70AFE" w:rsidRDefault="00B70AFE">
      <w:pPr>
        <w:spacing w:line="240" w:lineRule="auto"/>
      </w:pPr>
      <w:r>
        <w:separator/>
      </w:r>
    </w:p>
  </w:endnote>
  <w:endnote w:type="continuationSeparator" w:id="0">
    <w:p w14:paraId="6EA0931C" w14:textId="77777777" w:rsidR="00B70AFE" w:rsidRDefault="00B70AF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7365140"/>
    </w:sdtPr>
    <w:sdtEndPr/>
    <w:sdtContent>
      <w:p w14:paraId="5701ADFC" w14:textId="77777777" w:rsidR="006917C0" w:rsidRDefault="006C5ED1">
        <w:pPr>
          <w:pStyle w:val="Rodap"/>
          <w:jc w:val="right"/>
        </w:pPr>
        <w:r>
          <w:fldChar w:fldCharType="begin"/>
        </w:r>
        <w:r>
          <w:instrText>PAGE   \* MERGEFORMAT</w:instrText>
        </w:r>
        <w:r>
          <w:fldChar w:fldCharType="separate"/>
        </w:r>
        <w:r w:rsidR="00C325E9">
          <w:rPr>
            <w:noProof/>
          </w:rPr>
          <w:t>11</w:t>
        </w:r>
        <w:r>
          <w:fldChar w:fldCharType="end"/>
        </w:r>
      </w:p>
    </w:sdtContent>
  </w:sdt>
  <w:p w14:paraId="767C74CF" w14:textId="77777777" w:rsidR="006917C0" w:rsidRDefault="006917C0">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5FF978" w14:textId="77777777" w:rsidR="00B70AFE" w:rsidRDefault="00B70AFE">
      <w:pPr>
        <w:spacing w:after="0"/>
      </w:pPr>
      <w:r>
        <w:separator/>
      </w:r>
    </w:p>
  </w:footnote>
  <w:footnote w:type="continuationSeparator" w:id="0">
    <w:p w14:paraId="7FF81E20" w14:textId="77777777" w:rsidR="00B70AFE" w:rsidRDefault="00B70AFE">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BC7196"/>
    <w:multiLevelType w:val="multilevel"/>
    <w:tmpl w:val="50BC7196"/>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F1053"/>
    <w:rsid w:val="000005DF"/>
    <w:rsid w:val="00016F06"/>
    <w:rsid w:val="00034A6E"/>
    <w:rsid w:val="00042534"/>
    <w:rsid w:val="00056D8A"/>
    <w:rsid w:val="00057049"/>
    <w:rsid w:val="00066F31"/>
    <w:rsid w:val="00067697"/>
    <w:rsid w:val="000839B2"/>
    <w:rsid w:val="000A65C1"/>
    <w:rsid w:val="000C54B2"/>
    <w:rsid w:val="000F4287"/>
    <w:rsid w:val="00106742"/>
    <w:rsid w:val="00110C10"/>
    <w:rsid w:val="00120557"/>
    <w:rsid w:val="00120A47"/>
    <w:rsid w:val="001440D3"/>
    <w:rsid w:val="00173CB3"/>
    <w:rsid w:val="00175601"/>
    <w:rsid w:val="00191FD2"/>
    <w:rsid w:val="001A5B53"/>
    <w:rsid w:val="001B5F64"/>
    <w:rsid w:val="001E1B3D"/>
    <w:rsid w:val="001F348B"/>
    <w:rsid w:val="001F38A4"/>
    <w:rsid w:val="00212FF0"/>
    <w:rsid w:val="002152A8"/>
    <w:rsid w:val="00220371"/>
    <w:rsid w:val="00225F5D"/>
    <w:rsid w:val="00240033"/>
    <w:rsid w:val="00253412"/>
    <w:rsid w:val="0025531E"/>
    <w:rsid w:val="0028015B"/>
    <w:rsid w:val="00286E39"/>
    <w:rsid w:val="00290898"/>
    <w:rsid w:val="002A207C"/>
    <w:rsid w:val="002B2A5C"/>
    <w:rsid w:val="002D3744"/>
    <w:rsid w:val="002D4A29"/>
    <w:rsid w:val="002E1273"/>
    <w:rsid w:val="002E36A5"/>
    <w:rsid w:val="002E4053"/>
    <w:rsid w:val="002E4289"/>
    <w:rsid w:val="002E42C2"/>
    <w:rsid w:val="002F1053"/>
    <w:rsid w:val="002F413C"/>
    <w:rsid w:val="002F5242"/>
    <w:rsid w:val="003121B5"/>
    <w:rsid w:val="003136EA"/>
    <w:rsid w:val="00327A2A"/>
    <w:rsid w:val="00357D64"/>
    <w:rsid w:val="003657EC"/>
    <w:rsid w:val="00371122"/>
    <w:rsid w:val="003844E8"/>
    <w:rsid w:val="003D726F"/>
    <w:rsid w:val="003F5906"/>
    <w:rsid w:val="003F6400"/>
    <w:rsid w:val="00402CEC"/>
    <w:rsid w:val="00417345"/>
    <w:rsid w:val="0042394C"/>
    <w:rsid w:val="00436339"/>
    <w:rsid w:val="004571D1"/>
    <w:rsid w:val="0046776C"/>
    <w:rsid w:val="00476FDF"/>
    <w:rsid w:val="00491F9D"/>
    <w:rsid w:val="004A05C7"/>
    <w:rsid w:val="004A6FF2"/>
    <w:rsid w:val="004B6945"/>
    <w:rsid w:val="004D48ED"/>
    <w:rsid w:val="004F0F63"/>
    <w:rsid w:val="004F7225"/>
    <w:rsid w:val="00507A77"/>
    <w:rsid w:val="005150D6"/>
    <w:rsid w:val="00531AC2"/>
    <w:rsid w:val="00550DF2"/>
    <w:rsid w:val="0055422B"/>
    <w:rsid w:val="00593418"/>
    <w:rsid w:val="005949AB"/>
    <w:rsid w:val="005A5BD2"/>
    <w:rsid w:val="005B1D62"/>
    <w:rsid w:val="005C1E17"/>
    <w:rsid w:val="00602150"/>
    <w:rsid w:val="0060426C"/>
    <w:rsid w:val="006156AA"/>
    <w:rsid w:val="006179D1"/>
    <w:rsid w:val="00620EE9"/>
    <w:rsid w:val="00622D59"/>
    <w:rsid w:val="00632CBC"/>
    <w:rsid w:val="00634BB2"/>
    <w:rsid w:val="0063691E"/>
    <w:rsid w:val="00637201"/>
    <w:rsid w:val="00642978"/>
    <w:rsid w:val="00646FE7"/>
    <w:rsid w:val="00654AFE"/>
    <w:rsid w:val="006917C0"/>
    <w:rsid w:val="006A1CF0"/>
    <w:rsid w:val="006B1B2A"/>
    <w:rsid w:val="006C5ED1"/>
    <w:rsid w:val="006C7DCB"/>
    <w:rsid w:val="006D2A69"/>
    <w:rsid w:val="006D67B8"/>
    <w:rsid w:val="006D74F8"/>
    <w:rsid w:val="006E46C1"/>
    <w:rsid w:val="006E5301"/>
    <w:rsid w:val="006F5A71"/>
    <w:rsid w:val="00700510"/>
    <w:rsid w:val="00707050"/>
    <w:rsid w:val="007100CA"/>
    <w:rsid w:val="00715CE5"/>
    <w:rsid w:val="0072262B"/>
    <w:rsid w:val="00722F06"/>
    <w:rsid w:val="00724653"/>
    <w:rsid w:val="00726314"/>
    <w:rsid w:val="007409C1"/>
    <w:rsid w:val="00744CC2"/>
    <w:rsid w:val="007654AA"/>
    <w:rsid w:val="00767D0E"/>
    <w:rsid w:val="00782A8D"/>
    <w:rsid w:val="007A658F"/>
    <w:rsid w:val="007A761D"/>
    <w:rsid w:val="007B0129"/>
    <w:rsid w:val="007B2ADD"/>
    <w:rsid w:val="007B7215"/>
    <w:rsid w:val="007C1F7E"/>
    <w:rsid w:val="007C7738"/>
    <w:rsid w:val="007D0FC5"/>
    <w:rsid w:val="007E20A8"/>
    <w:rsid w:val="007E46BA"/>
    <w:rsid w:val="007F2D04"/>
    <w:rsid w:val="007F31A3"/>
    <w:rsid w:val="00800E94"/>
    <w:rsid w:val="008178AA"/>
    <w:rsid w:val="008373D2"/>
    <w:rsid w:val="008414D8"/>
    <w:rsid w:val="00847428"/>
    <w:rsid w:val="00871408"/>
    <w:rsid w:val="00871B93"/>
    <w:rsid w:val="00875BED"/>
    <w:rsid w:val="008B3302"/>
    <w:rsid w:val="008B75A0"/>
    <w:rsid w:val="008C066A"/>
    <w:rsid w:val="008C0C7E"/>
    <w:rsid w:val="008C458F"/>
    <w:rsid w:val="008C58EE"/>
    <w:rsid w:val="008E1C17"/>
    <w:rsid w:val="008F201B"/>
    <w:rsid w:val="009148B1"/>
    <w:rsid w:val="009276E8"/>
    <w:rsid w:val="009462D9"/>
    <w:rsid w:val="0095513C"/>
    <w:rsid w:val="00957FED"/>
    <w:rsid w:val="00960886"/>
    <w:rsid w:val="00966BF3"/>
    <w:rsid w:val="00977354"/>
    <w:rsid w:val="00982C6F"/>
    <w:rsid w:val="00982FAE"/>
    <w:rsid w:val="009915C3"/>
    <w:rsid w:val="009A0467"/>
    <w:rsid w:val="009A0C89"/>
    <w:rsid w:val="009A4B64"/>
    <w:rsid w:val="009C5EB3"/>
    <w:rsid w:val="009E6820"/>
    <w:rsid w:val="009E7DD6"/>
    <w:rsid w:val="009F1758"/>
    <w:rsid w:val="009F71AE"/>
    <w:rsid w:val="009F7E69"/>
    <w:rsid w:val="00A143FF"/>
    <w:rsid w:val="00A26A40"/>
    <w:rsid w:val="00A619E1"/>
    <w:rsid w:val="00A804BF"/>
    <w:rsid w:val="00AB5AC2"/>
    <w:rsid w:val="00AC13CD"/>
    <w:rsid w:val="00AC5612"/>
    <w:rsid w:val="00AC5676"/>
    <w:rsid w:val="00AE0D87"/>
    <w:rsid w:val="00AE31BF"/>
    <w:rsid w:val="00AE7F9B"/>
    <w:rsid w:val="00AF4870"/>
    <w:rsid w:val="00AF5ED8"/>
    <w:rsid w:val="00AF6919"/>
    <w:rsid w:val="00B35DF5"/>
    <w:rsid w:val="00B464DB"/>
    <w:rsid w:val="00B62CAA"/>
    <w:rsid w:val="00B70AFE"/>
    <w:rsid w:val="00B84F24"/>
    <w:rsid w:val="00B93994"/>
    <w:rsid w:val="00BD58B3"/>
    <w:rsid w:val="00BE1431"/>
    <w:rsid w:val="00BE64A5"/>
    <w:rsid w:val="00BE79D4"/>
    <w:rsid w:val="00BF08D3"/>
    <w:rsid w:val="00C12AAE"/>
    <w:rsid w:val="00C20C06"/>
    <w:rsid w:val="00C25F59"/>
    <w:rsid w:val="00C325E9"/>
    <w:rsid w:val="00C40877"/>
    <w:rsid w:val="00C43BD0"/>
    <w:rsid w:val="00C44FF9"/>
    <w:rsid w:val="00C56F06"/>
    <w:rsid w:val="00C82084"/>
    <w:rsid w:val="00C845A4"/>
    <w:rsid w:val="00C972F4"/>
    <w:rsid w:val="00CC5E58"/>
    <w:rsid w:val="00CD4CDE"/>
    <w:rsid w:val="00CE3A1C"/>
    <w:rsid w:val="00CF2B44"/>
    <w:rsid w:val="00CF456D"/>
    <w:rsid w:val="00D00A8A"/>
    <w:rsid w:val="00D07476"/>
    <w:rsid w:val="00D13E2B"/>
    <w:rsid w:val="00D32E85"/>
    <w:rsid w:val="00D406D0"/>
    <w:rsid w:val="00D44EA4"/>
    <w:rsid w:val="00D477D4"/>
    <w:rsid w:val="00D52EE2"/>
    <w:rsid w:val="00D76A4E"/>
    <w:rsid w:val="00D77067"/>
    <w:rsid w:val="00D823B2"/>
    <w:rsid w:val="00D97B88"/>
    <w:rsid w:val="00DA794C"/>
    <w:rsid w:val="00DC6704"/>
    <w:rsid w:val="00DE06A5"/>
    <w:rsid w:val="00DF1008"/>
    <w:rsid w:val="00DF48A9"/>
    <w:rsid w:val="00DF68A3"/>
    <w:rsid w:val="00E36D69"/>
    <w:rsid w:val="00E511B6"/>
    <w:rsid w:val="00E511B8"/>
    <w:rsid w:val="00E57C1D"/>
    <w:rsid w:val="00E63EC4"/>
    <w:rsid w:val="00E71757"/>
    <w:rsid w:val="00E71EA3"/>
    <w:rsid w:val="00E72EB6"/>
    <w:rsid w:val="00E80E1A"/>
    <w:rsid w:val="00E837BE"/>
    <w:rsid w:val="00E86805"/>
    <w:rsid w:val="00E901C6"/>
    <w:rsid w:val="00E92D88"/>
    <w:rsid w:val="00EA7376"/>
    <w:rsid w:val="00ED6E98"/>
    <w:rsid w:val="00EF1D17"/>
    <w:rsid w:val="00F05CD5"/>
    <w:rsid w:val="00F23011"/>
    <w:rsid w:val="00F24D10"/>
    <w:rsid w:val="00F24D31"/>
    <w:rsid w:val="00F7060B"/>
    <w:rsid w:val="00F72E97"/>
    <w:rsid w:val="00F84D9B"/>
    <w:rsid w:val="00F87158"/>
    <w:rsid w:val="00FA03B5"/>
    <w:rsid w:val="00FA075A"/>
    <w:rsid w:val="00FA091D"/>
    <w:rsid w:val="00FA3F26"/>
    <w:rsid w:val="00FA7EA1"/>
    <w:rsid w:val="00FC48F3"/>
    <w:rsid w:val="00FD0EA5"/>
    <w:rsid w:val="00FD3D14"/>
    <w:rsid w:val="00FD76BD"/>
    <w:rsid w:val="01A17EC0"/>
    <w:rsid w:val="0AFE1743"/>
    <w:rsid w:val="0D504ABE"/>
    <w:rsid w:val="0EA90252"/>
    <w:rsid w:val="1725063C"/>
    <w:rsid w:val="17B8037E"/>
    <w:rsid w:val="1A061908"/>
    <w:rsid w:val="1B5A7B35"/>
    <w:rsid w:val="1BC0133A"/>
    <w:rsid w:val="1DA876B7"/>
    <w:rsid w:val="1FE62F7A"/>
    <w:rsid w:val="29016D9A"/>
    <w:rsid w:val="2D1F2C06"/>
    <w:rsid w:val="318168DD"/>
    <w:rsid w:val="333379A2"/>
    <w:rsid w:val="36B96719"/>
    <w:rsid w:val="449934E2"/>
    <w:rsid w:val="44FE571E"/>
    <w:rsid w:val="45DC531B"/>
    <w:rsid w:val="4B7272C7"/>
    <w:rsid w:val="4BB91FC8"/>
    <w:rsid w:val="4C532F45"/>
    <w:rsid w:val="505D0938"/>
    <w:rsid w:val="52D62AD5"/>
    <w:rsid w:val="562F780B"/>
    <w:rsid w:val="59237377"/>
    <w:rsid w:val="5B167A00"/>
    <w:rsid w:val="5B7A5FA3"/>
    <w:rsid w:val="5DFA57EC"/>
    <w:rsid w:val="5EB32EE1"/>
    <w:rsid w:val="6149643E"/>
    <w:rsid w:val="625E31D0"/>
    <w:rsid w:val="64282B6A"/>
    <w:rsid w:val="671177B3"/>
    <w:rsid w:val="6A3C4DE4"/>
    <w:rsid w:val="6A4D6494"/>
    <w:rsid w:val="6A9A7556"/>
    <w:rsid w:val="6F730CD3"/>
    <w:rsid w:val="71813199"/>
    <w:rsid w:val="72B33BC7"/>
    <w:rsid w:val="73CE4306"/>
    <w:rsid w:val="762B6BA5"/>
    <w:rsid w:val="79E2023B"/>
    <w:rsid w:val="7ED168C6"/>
    <w:rsid w:val="7F98358D"/>
    <w:rsid w:val="7FB4387C"/>
    <w:rsid w:val="7FDA0079"/>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789AB"/>
  <w15:docId w15:val="{564D156B-9BCB-4D12-B55C-0287E3F85C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semiHidden="1" w:uiPriority="0" w:unhideWhenUsed="1"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paragraph" w:styleId="Ttulo2">
    <w:name w:val="heading 2"/>
    <w:basedOn w:val="Normal"/>
    <w:next w:val="Normal"/>
    <w:link w:val="Ttulo2Char"/>
    <w:uiPriority w:val="9"/>
    <w:qFormat/>
    <w:pPr>
      <w:spacing w:before="100" w:beforeAutospacing="1" w:after="100" w:afterAutospacing="1" w:line="240" w:lineRule="auto"/>
      <w:outlineLvl w:val="1"/>
    </w:pPr>
    <w:rPr>
      <w:rFonts w:ascii="Times New Roman" w:eastAsia="Times New Roman" w:hAnsi="Times New Roman" w:cs="Times New Roman"/>
      <w:b/>
      <w:bCs/>
      <w:sz w:val="36"/>
      <w:szCs w:val="36"/>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qFormat/>
    <w:pPr>
      <w:spacing w:after="0" w:line="240" w:lineRule="auto"/>
    </w:pPr>
    <w:rPr>
      <w:rFonts w:ascii="Tahoma" w:hAnsi="Tahoma" w:cs="Tahoma"/>
      <w:sz w:val="16"/>
      <w:szCs w:val="16"/>
    </w:rPr>
  </w:style>
  <w:style w:type="paragraph" w:styleId="Corpodetexto">
    <w:name w:val="Body Text"/>
    <w:basedOn w:val="Normal"/>
    <w:link w:val="CorpodetextoChar"/>
    <w:qFormat/>
    <w:pPr>
      <w:spacing w:after="120"/>
    </w:pPr>
    <w:rPr>
      <w:rFonts w:ascii="Times New Roman" w:eastAsia="Times New Roman" w:hAnsi="Times New Roman" w:cs="Times New Roman"/>
      <w:sz w:val="24"/>
      <w:szCs w:val="24"/>
      <w:lang w:eastAsia="pt-BR"/>
    </w:rPr>
  </w:style>
  <w:style w:type="character" w:styleId="nfase">
    <w:name w:val="Emphasis"/>
    <w:basedOn w:val="Fontepargpadro"/>
    <w:uiPriority w:val="20"/>
    <w:qFormat/>
    <w:rPr>
      <w:i/>
      <w:iCs/>
    </w:rPr>
  </w:style>
  <w:style w:type="paragraph" w:styleId="Rodap">
    <w:name w:val="footer"/>
    <w:basedOn w:val="Normal"/>
    <w:link w:val="RodapChar"/>
    <w:uiPriority w:val="99"/>
    <w:unhideWhenUsed/>
    <w:qFormat/>
    <w:pPr>
      <w:tabs>
        <w:tab w:val="center" w:pos="4252"/>
        <w:tab w:val="right" w:pos="8504"/>
      </w:tabs>
      <w:spacing w:after="0" w:line="240" w:lineRule="auto"/>
    </w:pPr>
  </w:style>
  <w:style w:type="paragraph" w:styleId="Cabealho">
    <w:name w:val="header"/>
    <w:basedOn w:val="Normal"/>
    <w:link w:val="CabealhoChar"/>
    <w:uiPriority w:val="99"/>
    <w:unhideWhenUsed/>
    <w:qFormat/>
    <w:pPr>
      <w:tabs>
        <w:tab w:val="center" w:pos="4252"/>
        <w:tab w:val="right" w:pos="8504"/>
      </w:tabs>
      <w:spacing w:after="0" w:line="240" w:lineRule="auto"/>
    </w:pPr>
  </w:style>
  <w:style w:type="character" w:styleId="Hyperlink">
    <w:name w:val="Hyperlink"/>
    <w:basedOn w:val="Fontepargpadro"/>
    <w:uiPriority w:val="99"/>
    <w:semiHidden/>
    <w:unhideWhenUsed/>
    <w:qFormat/>
    <w:rPr>
      <w:color w:val="0000FF"/>
      <w:u w:val="single"/>
    </w:rPr>
  </w:style>
  <w:style w:type="paragraph" w:styleId="NormalWeb">
    <w:name w:val="Normal (Web)"/>
    <w:basedOn w:val="Normal"/>
    <w:uiPriority w:val="99"/>
    <w:semiHidden/>
    <w:unhideWhenUsed/>
    <w:qFormat/>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Pr>
      <w:b/>
      <w:bCs/>
    </w:rPr>
  </w:style>
  <w:style w:type="table" w:styleId="Tabelacomgrade">
    <w:name w:val="Table Grid"/>
    <w:basedOn w:val="Tabelanormal"/>
    <w:qFormat/>
    <w:pPr>
      <w:spacing w:after="160" w:line="259"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ofundocinzamaiusculasnegrito">
    <w:name w:val="texto_fundo_cinza_maiusculas_negrito"/>
    <w:basedOn w:val="Normal"/>
    <w:qFormat/>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textoalinhadoesquerda">
    <w:name w:val="texto_alinhado_esquerda"/>
    <w:basedOn w:val="Normal"/>
    <w:qFormat/>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textoalinhadoesquerdaespacamentosimples">
    <w:name w:val="texto_alinhado_esquerda_espacamento_simples"/>
    <w:basedOn w:val="Normal"/>
    <w:qFormat/>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textojustificadorecuoprimeiralinha">
    <w:name w:val="texto_justificado_recuo_primeira_linha"/>
    <w:basedOn w:val="Normal"/>
    <w:qFormat/>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textofundocinzanegrito">
    <w:name w:val="texto_fundo_cinza_negrito"/>
    <w:basedOn w:val="Normal"/>
    <w:qFormat/>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infraarvorenoselecionado">
    <w:name w:val="infraarvorenoselecionado"/>
    <w:basedOn w:val="Fontepargpadro"/>
    <w:qFormat/>
  </w:style>
  <w:style w:type="character" w:customStyle="1" w:styleId="TextodebaloChar">
    <w:name w:val="Texto de balão Char"/>
    <w:basedOn w:val="Fontepargpadro"/>
    <w:link w:val="Textodebalo"/>
    <w:uiPriority w:val="99"/>
    <w:semiHidden/>
    <w:qFormat/>
    <w:rPr>
      <w:rFonts w:ascii="Tahoma" w:hAnsi="Tahoma" w:cs="Tahoma"/>
      <w:sz w:val="16"/>
      <w:szCs w:val="16"/>
    </w:rPr>
  </w:style>
  <w:style w:type="paragraph" w:customStyle="1" w:styleId="Default">
    <w:name w:val="Default"/>
    <w:qFormat/>
    <w:pPr>
      <w:autoSpaceDE w:val="0"/>
      <w:autoSpaceDN w:val="0"/>
      <w:adjustRightInd w:val="0"/>
    </w:pPr>
    <w:rPr>
      <w:rFonts w:ascii="Calibri" w:hAnsi="Calibri" w:cs="Calibri"/>
      <w:color w:val="000000"/>
      <w:sz w:val="24"/>
      <w:szCs w:val="24"/>
      <w:lang w:eastAsia="en-US"/>
    </w:rPr>
  </w:style>
  <w:style w:type="paragraph" w:styleId="PargrafodaLista">
    <w:name w:val="List Paragraph"/>
    <w:basedOn w:val="Normal"/>
    <w:uiPriority w:val="34"/>
    <w:qFormat/>
    <w:pPr>
      <w:spacing w:after="160" w:line="259" w:lineRule="auto"/>
      <w:ind w:left="720" w:firstLine="1134"/>
      <w:contextualSpacing/>
      <w:jc w:val="both"/>
    </w:pPr>
    <w:rPr>
      <w:rFonts w:ascii="Arial" w:eastAsia="Calibri" w:hAnsi="Arial" w:cs="Arial"/>
      <w:sz w:val="24"/>
      <w:szCs w:val="20"/>
      <w:lang w:eastAsia="pt-BR"/>
    </w:rPr>
  </w:style>
  <w:style w:type="character" w:customStyle="1" w:styleId="CorpodetextoChar">
    <w:name w:val="Corpo de texto Char"/>
    <w:basedOn w:val="Fontepargpadro"/>
    <w:link w:val="Corpodetexto"/>
    <w:qFormat/>
    <w:rPr>
      <w:rFonts w:ascii="Times New Roman" w:eastAsia="Times New Roman" w:hAnsi="Times New Roman" w:cs="Times New Roman"/>
      <w:sz w:val="24"/>
      <w:szCs w:val="24"/>
      <w:lang w:eastAsia="pt-BR"/>
    </w:rPr>
  </w:style>
  <w:style w:type="character" w:customStyle="1" w:styleId="Ttulo2Char">
    <w:name w:val="Título 2 Char"/>
    <w:basedOn w:val="Fontepargpadro"/>
    <w:link w:val="Ttulo2"/>
    <w:uiPriority w:val="9"/>
    <w:qFormat/>
    <w:rPr>
      <w:rFonts w:ascii="Times New Roman" w:eastAsia="Times New Roman" w:hAnsi="Times New Roman" w:cs="Times New Roman"/>
      <w:b/>
      <w:bCs/>
      <w:sz w:val="36"/>
      <w:szCs w:val="36"/>
    </w:rPr>
  </w:style>
  <w:style w:type="character" w:customStyle="1" w:styleId="CabealhoChar">
    <w:name w:val="Cabeçalho Char"/>
    <w:basedOn w:val="Fontepargpadro"/>
    <w:link w:val="Cabealho"/>
    <w:uiPriority w:val="99"/>
    <w:qFormat/>
    <w:rPr>
      <w:sz w:val="22"/>
      <w:szCs w:val="22"/>
      <w:lang w:eastAsia="en-US"/>
    </w:rPr>
  </w:style>
  <w:style w:type="character" w:customStyle="1" w:styleId="RodapChar">
    <w:name w:val="Rodapé Char"/>
    <w:basedOn w:val="Fontepargpadro"/>
    <w:link w:val="Rodap"/>
    <w:uiPriority w:val="99"/>
    <w:qFormat/>
    <w:rPr>
      <w:sz w:val="22"/>
      <w:szCs w:val="22"/>
      <w:lang w:eastAsia="en-US"/>
    </w:rPr>
  </w:style>
  <w:style w:type="paragraph" w:customStyle="1" w:styleId="textojustificado">
    <w:name w:val="texto_justificado"/>
    <w:basedOn w:val="Normal"/>
    <w:qFormat/>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citacao">
    <w:name w:val="citacao"/>
    <w:basedOn w:val="Normal"/>
    <w:qFormat/>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3853</Words>
  <Characters>20809</Characters>
  <Application>Microsoft Office Word</Application>
  <DocSecurity>0</DocSecurity>
  <Lines>173</Lines>
  <Paragraphs>49</Paragraphs>
  <ScaleCrop>false</ScaleCrop>
  <Company/>
  <LinksUpToDate>false</LinksUpToDate>
  <CharactersWithSpaces>24613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Amilton Ferri</dc:creator>
  <cp:lastModifiedBy>Renata Lacerda Denucci</cp:lastModifiedBy>
  <cp:revision>2</cp:revision>
  <dcterms:created xsi:type="dcterms:W3CDTF">2022-07-01T13:34:00Z</dcterms:created>
  <dcterms:modified xsi:type="dcterms:W3CDTF">2022-07-01T13:34:00Z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1033-11.2.0.11156</vt:lpwstr>
  </property>
  <property fmtid="{D5CDD505-2E9C-101B-9397-08002B2CF9AE}" pid="3" name="ICV">
    <vt:lpwstr>E62AF073B3B64D048793DDF396BD1C56</vt:lpwstr>
  </property>
</Properties>
</file>