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884"/>
        <w:gridCol w:w="425"/>
        <w:gridCol w:w="996"/>
        <w:gridCol w:w="265"/>
        <w:gridCol w:w="255"/>
        <w:gridCol w:w="327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ED305D">
              <w:rPr>
                <w:rFonts w:ascii="Times New Roman" w:hAnsi="Times New Roman" w:cs="Times New Roman"/>
                <w:b/>
              </w:rPr>
              <w:t>3445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ED305D">
              <w:rPr>
                <w:rFonts w:ascii="Times New Roman" w:hAnsi="Times New Roman" w:cs="Times New Roman"/>
                <w:b/>
              </w:rPr>
              <w:t>3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Patrícia Piana Santos Lima de Oliveira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858.925.136-53</w:t>
            </w:r>
          </w:p>
        </w:tc>
      </w:tr>
      <w:tr w:rsidR="00C86F03" w:rsidRPr="00C86F03" w:rsidTr="00E9337E">
        <w:tc>
          <w:tcPr>
            <w:tcW w:w="2909" w:type="pct"/>
            <w:gridSpan w:val="4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Avenida Maria das Dores Barreto, 1080 – Casa 55 - Condominio Vivendas do Lago</w:t>
            </w:r>
          </w:p>
        </w:tc>
        <w:tc>
          <w:tcPr>
            <w:tcW w:w="2091" w:type="pct"/>
            <w:gridSpan w:val="8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proofErr w:type="spellStart"/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Ibiturana</w:t>
            </w:r>
            <w:proofErr w:type="spellEnd"/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Montes Claros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39401-330</w:t>
            </w:r>
          </w:p>
        </w:tc>
      </w:tr>
      <w:tr w:rsidR="00C86F03" w:rsidRPr="00C86F03" w:rsidTr="00ED0EFA">
        <w:tc>
          <w:tcPr>
            <w:tcW w:w="2180" w:type="pct"/>
            <w:gridSpan w:val="2"/>
          </w:tcPr>
          <w:p w:rsidR="005B33DB" w:rsidRPr="00C86F03" w:rsidRDefault="007F5FBA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3832A0" w:rsidRPr="003832A0">
              <w:rPr>
                <w:rFonts w:ascii="TimesNewRomanPS-BoldMT" w:eastAsiaTheme="minorHAnsi" w:hAnsi="TimesNewRomanPS-BoldMT" w:cs="TimesNewRomanPS-BoldMT"/>
                <w:bCs/>
                <w:sz w:val="21"/>
                <w:szCs w:val="21"/>
                <w:lang w:val="pt-BR"/>
              </w:rPr>
              <w:t>38 99210-7426</w:t>
            </w:r>
          </w:p>
        </w:tc>
        <w:tc>
          <w:tcPr>
            <w:tcW w:w="2820" w:type="pct"/>
            <w:gridSpan w:val="10"/>
            <w:vAlign w:val="center"/>
          </w:tcPr>
          <w:p w:rsidR="005B33DB" w:rsidRPr="00C86F03" w:rsidRDefault="007F5FBA" w:rsidP="0038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E9337E">
        <w:tc>
          <w:tcPr>
            <w:tcW w:w="3344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3832A0" w:rsidRPr="003832A0">
              <w:rPr>
                <w:rFonts w:ascii="Times New Roman" w:hAnsi="Times New Roman" w:cs="Times New Roman"/>
              </w:rPr>
              <w:t>lote 328</w:t>
            </w:r>
            <w:r w:rsidR="003832A0">
              <w:rPr>
                <w:rFonts w:ascii="Times New Roman" w:hAnsi="Times New Roman" w:cs="Times New Roman"/>
              </w:rPr>
              <w:t>A,</w:t>
            </w:r>
            <w:r w:rsidR="00E9337E" w:rsidRPr="00C86F03">
              <w:rPr>
                <w:rFonts w:ascii="Times New Roman" w:hAnsi="Times New Roman" w:cs="Times New Roman"/>
              </w:rPr>
              <w:t xml:space="preserve">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Condomínio </w:t>
            </w:r>
            <w:r w:rsid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Vila Del Rey Anexo</w:t>
            </w:r>
          </w:p>
        </w:tc>
        <w:tc>
          <w:tcPr>
            <w:tcW w:w="1656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3832A0">
              <w:rPr>
                <w:rFonts w:ascii="Times New Roman" w:eastAsia="Arial" w:hAnsi="Times New Roman" w:cs="Times New Roman"/>
              </w:rPr>
              <w:t>1.019,33</w:t>
            </w:r>
          </w:p>
        </w:tc>
      </w:tr>
      <w:tr w:rsidR="00C86F03" w:rsidRPr="00C86F03" w:rsidTr="00E9337E">
        <w:tc>
          <w:tcPr>
            <w:tcW w:w="3045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</w:p>
        </w:tc>
      </w:tr>
      <w:tr w:rsidR="00C86F03" w:rsidRPr="00C86F03" w:rsidTr="00E9337E">
        <w:tc>
          <w:tcPr>
            <w:tcW w:w="1213" w:type="pct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3832A0" w:rsidRPr="003832A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43.859</w:t>
            </w:r>
          </w:p>
        </w:tc>
        <w:tc>
          <w:tcPr>
            <w:tcW w:w="1185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2</w:t>
            </w:r>
            <w:r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DF5FD1" w:rsidRPr="00C86F03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 xml:space="preserve">3.6 Documento de posse (descrição do tipo): </w:t>
            </w:r>
            <w:r w:rsidR="003B3911" w:rsidRPr="00C86F03">
              <w:rPr>
                <w:rFonts w:ascii="Times New Roman" w:eastAsia="Calibri" w:hAnsi="Times New Roman" w:cs="Times New Roman"/>
                <w:lang w:val="pt-PT"/>
              </w:rPr>
              <w:t>Escritura pública de compra e venda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Floresta Estacional Semidecidual ( </w:t>
            </w:r>
            <w:r w:rsidR="003832A0">
              <w:rPr>
                <w:rFonts w:ascii="Times New Roman" w:hAnsi="Times New Roman" w:cs="Times New Roman"/>
              </w:rPr>
              <w:t>x</w:t>
            </w:r>
            <w:r w:rsidRPr="00C86F03">
              <w:rPr>
                <w:rFonts w:ascii="Times New Roman" w:hAnsi="Times New Roman" w:cs="Times New Roman"/>
              </w:rPr>
              <w:t>) inicial (</w:t>
            </w:r>
            <w:r w:rsidR="001805D0" w:rsidRPr="00C86F03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 xml:space="preserve"> ) médio (  ) avançado</w:t>
            </w:r>
          </w:p>
        </w:tc>
        <w:tc>
          <w:tcPr>
            <w:tcW w:w="655" w:type="pct"/>
            <w:gridSpan w:val="2"/>
          </w:tcPr>
          <w:p w:rsidR="007F5FBA" w:rsidRPr="00C86F03" w:rsidRDefault="003832A0" w:rsidP="00EB1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32A0">
              <w:rPr>
                <w:rFonts w:ascii="Times New Roman" w:hAnsi="Times New Roman" w:cs="Times New Roman"/>
              </w:rPr>
              <w:t>413,28</w:t>
            </w:r>
          </w:p>
        </w:tc>
        <w:tc>
          <w:tcPr>
            <w:tcW w:w="492" w:type="pct"/>
          </w:tcPr>
          <w:p w:rsidR="007F5FBA" w:rsidRPr="00C86F03" w:rsidRDefault="007C16D5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ED0EFA"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585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2" w:type="pct"/>
            <w:gridSpan w:val="5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2" w:type="pct"/>
            <w:gridSpan w:val="5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7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23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C86F03" w:rsidRDefault="003832A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1,7222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E9337E" w:rsidRPr="00C86F03">
              <w:rPr>
                <w:rFonts w:ascii="Times New Roman" w:hAnsi="Times New Roman" w:cs="Times New Roman"/>
              </w:rPr>
              <w:t>6</w:t>
            </w:r>
            <w:r w:rsidR="00F1020B">
              <w:rPr>
                <w:rFonts w:ascii="Times New Roman" w:hAnsi="Times New Roman" w:cs="Times New Roman"/>
              </w:rPr>
              <w:t>31</w:t>
            </w:r>
            <w:r w:rsidR="00E9337E" w:rsidRPr="00C86F03">
              <w:rPr>
                <w:rFonts w:ascii="Times New Roman" w:hAnsi="Times New Roman" w:cs="Times New Roman"/>
              </w:rPr>
              <w:t>,5</w:t>
            </w:r>
            <w:r w:rsidR="00F1020B">
              <w:rPr>
                <w:rFonts w:ascii="Times New Roman" w:hAnsi="Times New Roman" w:cs="Times New Roman"/>
              </w:rPr>
              <w:t>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E9337E" w:rsidRPr="00C86F03">
              <w:rPr>
                <w:rFonts w:ascii="Times New Roman" w:hAnsi="Times New Roman" w:cs="Times New Roman"/>
              </w:rPr>
              <w:t>0</w:t>
            </w:r>
            <w:r w:rsidR="003832A0">
              <w:rPr>
                <w:rFonts w:ascii="Times New Roman" w:hAnsi="Times New Roman" w:cs="Times New Roman"/>
              </w:rPr>
              <w:t>3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3B3911" w:rsidRPr="00C86F03">
              <w:rPr>
                <w:rFonts w:ascii="Times New Roman" w:hAnsi="Times New Roman" w:cs="Times New Roman"/>
              </w:rPr>
              <w:t>0</w:t>
            </w:r>
            <w:r w:rsidR="003832A0">
              <w:rPr>
                <w:rFonts w:ascii="Times New Roman" w:hAnsi="Times New Roman" w:cs="Times New Roman"/>
              </w:rPr>
              <w:t>4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3B3911" w:rsidRPr="00C86F03">
              <w:rPr>
                <w:rFonts w:ascii="Times New Roman" w:hAnsi="Times New Roman" w:cs="Times New Roman"/>
              </w:rPr>
              <w:t>3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P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C11EC5" w:rsidRDefault="00253767" w:rsidP="00B90FD0">
      <w:pPr>
        <w:rPr>
          <w:rFonts w:ascii="Times New Roman" w:hAnsi="Times New Roman" w:cs="Times New Roman"/>
          <w:u w:val="single"/>
        </w:rPr>
      </w:pPr>
      <w:r w:rsidRPr="00C11EC5">
        <w:rPr>
          <w:rFonts w:ascii="Times New Roman" w:hAnsi="Times New Roman" w:cs="Times New Roman"/>
          <w:u w:val="single"/>
        </w:rPr>
        <w:t>Planta de Situação</w:t>
      </w:r>
    </w:p>
    <w:p w:rsidR="004C70CC" w:rsidRDefault="00C11EC5" w:rsidP="004C70C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286E27" wp14:editId="068A8F1C">
            <wp:extent cx="8345832" cy="4942374"/>
            <wp:effectExtent l="635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52" t="23046" r="25148" b="25154"/>
                    <a:stretch/>
                  </pic:blipFill>
                  <pic:spPr bwMode="auto">
                    <a:xfrm rot="16200000">
                      <a:off x="0" y="0"/>
                      <a:ext cx="8380646" cy="496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EC5" w:rsidRDefault="00C11EC5" w:rsidP="00C11EC5">
      <w:pPr>
        <w:rPr>
          <w:rFonts w:ascii="Times New Roman" w:hAnsi="Times New Roman" w:cs="Times New Roman"/>
        </w:rPr>
      </w:pPr>
    </w:p>
    <w:p w:rsidR="00C11EC5" w:rsidRDefault="00C11EC5" w:rsidP="00C11EC5">
      <w:pPr>
        <w:rPr>
          <w:rFonts w:ascii="Times New Roman" w:hAnsi="Times New Roman" w:cs="Times New Roman"/>
        </w:rPr>
      </w:pPr>
    </w:p>
    <w:p w:rsidR="00C11EC5" w:rsidRDefault="00C11EC5" w:rsidP="00C11EC5">
      <w:pPr>
        <w:rPr>
          <w:rFonts w:ascii="Times New Roman" w:hAnsi="Times New Roman" w:cs="Times New Roman"/>
        </w:rPr>
      </w:pPr>
      <w:r w:rsidRPr="00C11EC5">
        <w:rPr>
          <w:rFonts w:ascii="Times New Roman" w:hAnsi="Times New Roman" w:cs="Times New Roman"/>
        </w:rPr>
        <w:t xml:space="preserve">Após a vistoria com o conselheiro do </w:t>
      </w:r>
      <w:proofErr w:type="spellStart"/>
      <w:r w:rsidRPr="00C11EC5">
        <w:rPr>
          <w:rFonts w:ascii="Times New Roman" w:hAnsi="Times New Roman" w:cs="Times New Roman"/>
        </w:rPr>
        <w:t>Promutuca</w:t>
      </w:r>
      <w:proofErr w:type="spellEnd"/>
      <w:r w:rsidRPr="00C11EC5">
        <w:rPr>
          <w:rFonts w:ascii="Times New Roman" w:hAnsi="Times New Roman" w:cs="Times New Roman"/>
        </w:rPr>
        <w:t>, ficou</w:t>
      </w:r>
      <w:r>
        <w:rPr>
          <w:rFonts w:ascii="Times New Roman" w:hAnsi="Times New Roman" w:cs="Times New Roman"/>
        </w:rPr>
        <w:t xml:space="preserve"> </w:t>
      </w:r>
      <w:r w:rsidRPr="00C11EC5">
        <w:rPr>
          <w:rFonts w:ascii="Times New Roman" w:hAnsi="Times New Roman" w:cs="Times New Roman"/>
        </w:rPr>
        <w:t>acordado uma diminuição da área de intervenção ambiental para uma área de 357,75 m² que</w:t>
      </w:r>
      <w:r>
        <w:rPr>
          <w:rFonts w:ascii="Times New Roman" w:hAnsi="Times New Roman" w:cs="Times New Roman"/>
        </w:rPr>
        <w:t xml:space="preserve"> </w:t>
      </w:r>
      <w:r w:rsidRPr="00C11EC5">
        <w:rPr>
          <w:rFonts w:ascii="Times New Roman" w:hAnsi="Times New Roman" w:cs="Times New Roman"/>
        </w:rPr>
        <w:t>está distribuída na fitofisionomia Floresta Estacional Semidecidual Montada, no estágio inicial</w:t>
      </w:r>
      <w:r>
        <w:rPr>
          <w:rFonts w:ascii="Times New Roman" w:hAnsi="Times New Roman" w:cs="Times New Roman"/>
        </w:rPr>
        <w:t xml:space="preserve"> </w:t>
      </w:r>
      <w:r w:rsidRPr="00C11EC5">
        <w:rPr>
          <w:rFonts w:ascii="Times New Roman" w:hAnsi="Times New Roman" w:cs="Times New Roman"/>
        </w:rPr>
        <w:t>de regeneração.</w:t>
      </w:r>
    </w:p>
    <w:p w:rsidR="00C11EC5" w:rsidRDefault="00C11EC5" w:rsidP="00C11EC5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C11EC5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832A0"/>
    <w:rsid w:val="003A4C2E"/>
    <w:rsid w:val="003B3911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125D6"/>
    <w:rsid w:val="00633179"/>
    <w:rsid w:val="00641795"/>
    <w:rsid w:val="006734FB"/>
    <w:rsid w:val="00676972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296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90FD0"/>
    <w:rsid w:val="00BA0E26"/>
    <w:rsid w:val="00BA3A40"/>
    <w:rsid w:val="00BC053E"/>
    <w:rsid w:val="00BD596F"/>
    <w:rsid w:val="00C022CB"/>
    <w:rsid w:val="00C07DE6"/>
    <w:rsid w:val="00C10BF9"/>
    <w:rsid w:val="00C11EC5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D305D"/>
    <w:rsid w:val="00EE6C4E"/>
    <w:rsid w:val="00F05FDA"/>
    <w:rsid w:val="00F06786"/>
    <w:rsid w:val="00F1020B"/>
    <w:rsid w:val="00F1382F"/>
    <w:rsid w:val="00F16F91"/>
    <w:rsid w:val="00F57938"/>
    <w:rsid w:val="00F86FAE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A0E012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79A1-489E-41B0-95E7-2DF36CD4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44</cp:revision>
  <cp:lastPrinted>2022-08-11T19:11:00Z</cp:lastPrinted>
  <dcterms:created xsi:type="dcterms:W3CDTF">2023-01-10T11:37:00Z</dcterms:created>
  <dcterms:modified xsi:type="dcterms:W3CDTF">2023-06-13T16:56:00Z</dcterms:modified>
</cp:coreProperties>
</file>