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p w:rsidR="00562204" w:rsidRDefault="00562204" w:rsidP="005622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PARECER TÉCNICO CODEMA</w:t>
      </w:r>
    </w:p>
    <w:p w:rsidR="00562204" w:rsidRDefault="00562204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59"/>
        <w:gridCol w:w="1884"/>
        <w:gridCol w:w="425"/>
        <w:gridCol w:w="1138"/>
        <w:gridCol w:w="709"/>
        <w:gridCol w:w="284"/>
        <w:gridCol w:w="1339"/>
        <w:gridCol w:w="1604"/>
      </w:tblGrid>
      <w:tr w:rsidR="007F5FBA" w:rsidRPr="00BD60CF" w:rsidTr="00ED0EFA">
        <w:trPr>
          <w:trHeight w:val="234"/>
        </w:trPr>
        <w:tc>
          <w:tcPr>
            <w:tcW w:w="5000" w:type="pct"/>
            <w:gridSpan w:val="8"/>
          </w:tcPr>
          <w:p w:rsidR="007F5FBA" w:rsidRPr="00BD60CF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BD60CF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2912DF" w:rsidRPr="00BD60CF">
              <w:rPr>
                <w:rFonts w:ascii="Times New Roman" w:hAnsi="Times New Roman" w:cs="Times New Roman"/>
                <w:b/>
              </w:rPr>
              <w:t>13466/2024</w:t>
            </w:r>
            <w:r w:rsidRPr="00BD60CF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BD60CF" w:rsidTr="00ED0EFA">
        <w:tc>
          <w:tcPr>
            <w:tcW w:w="5000" w:type="pct"/>
            <w:gridSpan w:val="8"/>
            <w:shd w:val="clear" w:color="auto" w:fill="E7E6E6" w:themeFill="background2"/>
          </w:tcPr>
          <w:p w:rsidR="007F5FBA" w:rsidRPr="00BD60CF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BD60CF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BD60CF" w:rsidTr="00B03653">
        <w:tc>
          <w:tcPr>
            <w:tcW w:w="2396" w:type="pct"/>
            <w:gridSpan w:val="3"/>
          </w:tcPr>
          <w:p w:rsidR="007F5FBA" w:rsidRPr="00BD60CF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BD60CF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Marcelo Serafim Dias</w:t>
            </w:r>
          </w:p>
        </w:tc>
        <w:tc>
          <w:tcPr>
            <w:tcW w:w="2604" w:type="pct"/>
            <w:gridSpan w:val="5"/>
          </w:tcPr>
          <w:p w:rsidR="007F5FBA" w:rsidRPr="00BD60CF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BD60C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BD60CF">
              <w:rPr>
                <w:rFonts w:ascii="Times New Roman" w:eastAsia="Arial" w:hAnsi="Times New Roman" w:cs="Times New Roman"/>
              </w:rPr>
              <w:t xml:space="preserve"> 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040.016.286-51</w:t>
            </w:r>
          </w:p>
        </w:tc>
      </w:tr>
      <w:tr w:rsidR="007F5FBA" w:rsidRPr="00BD60CF" w:rsidTr="00B03653">
        <w:tc>
          <w:tcPr>
            <w:tcW w:w="2980" w:type="pct"/>
            <w:gridSpan w:val="4"/>
          </w:tcPr>
          <w:p w:rsidR="007F5FBA" w:rsidRPr="00BD60CF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BD60CF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Rua Ministro Orozimbo Nonato</w:t>
            </w:r>
            <w:r w:rsidR="00B03653">
              <w:rPr>
                <w:rFonts w:ascii="Times New Roman" w:hAnsi="Times New Roman" w:cs="Times New Roman"/>
                <w:sz w:val="21"/>
                <w:szCs w:val="21"/>
              </w:rPr>
              <w:t xml:space="preserve">, nº 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525 – apt 1201</w:t>
            </w:r>
          </w:p>
        </w:tc>
        <w:tc>
          <w:tcPr>
            <w:tcW w:w="2020" w:type="pct"/>
            <w:gridSpan w:val="4"/>
          </w:tcPr>
          <w:p w:rsidR="007F5FBA" w:rsidRPr="00BD60CF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BD60CF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Vila da Serra</w:t>
            </w:r>
          </w:p>
        </w:tc>
      </w:tr>
      <w:tr w:rsidR="007F5FBA" w:rsidRPr="00BD60CF" w:rsidTr="00B03653">
        <w:tc>
          <w:tcPr>
            <w:tcW w:w="2396" w:type="pct"/>
            <w:gridSpan w:val="3"/>
          </w:tcPr>
          <w:p w:rsidR="007F5FBA" w:rsidRPr="00BD60CF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BD60CF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Nova Lima</w:t>
            </w:r>
          </w:p>
        </w:tc>
        <w:tc>
          <w:tcPr>
            <w:tcW w:w="1093" w:type="pct"/>
            <w:gridSpan w:val="3"/>
          </w:tcPr>
          <w:p w:rsidR="007F5FBA" w:rsidRPr="00BD60CF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BD60CF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BD60CF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510" w:type="pct"/>
            <w:gridSpan w:val="2"/>
          </w:tcPr>
          <w:p w:rsidR="007F5FBA" w:rsidRPr="00BD60CF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BD60CF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34006-053</w:t>
            </w:r>
          </w:p>
        </w:tc>
      </w:tr>
      <w:tr w:rsidR="007F5FBA" w:rsidRPr="00BD60CF" w:rsidTr="00B03653">
        <w:tc>
          <w:tcPr>
            <w:tcW w:w="2178" w:type="pct"/>
            <w:gridSpan w:val="2"/>
          </w:tcPr>
          <w:p w:rsidR="002912DF" w:rsidRPr="00BD60CF" w:rsidRDefault="002912DF" w:rsidP="002912DF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BD60C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Pr="00BD60CF">
              <w:rPr>
                <w:rFonts w:ascii="Times New Roman" w:eastAsia="Arial" w:hAnsi="Times New Roman" w:cs="Times New Roman"/>
              </w:rPr>
              <w:t xml:space="preserve">(31) </w:t>
            </w:r>
            <w:r w:rsidRPr="00BD60CF">
              <w:rPr>
                <w:rFonts w:ascii="Times New Roman" w:hAnsi="Times New Roman" w:cs="Times New Roman"/>
              </w:rPr>
              <w:t>98835-9810</w:t>
            </w:r>
          </w:p>
          <w:p w:rsidR="005B33DB" w:rsidRPr="00BD60CF" w:rsidRDefault="002912DF" w:rsidP="002912DF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BD60CF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(Marcos Birchal de Moura – Procurador)</w:t>
            </w:r>
          </w:p>
        </w:tc>
        <w:tc>
          <w:tcPr>
            <w:tcW w:w="2822" w:type="pct"/>
            <w:gridSpan w:val="6"/>
            <w:vAlign w:val="center"/>
          </w:tcPr>
          <w:p w:rsidR="002912DF" w:rsidRPr="00BD60CF" w:rsidRDefault="002912DF" w:rsidP="002912D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</w:rPr>
              <w:t xml:space="preserve">1.9 e-mail: </w:t>
            </w:r>
            <w:r w:rsidRPr="00BD60CF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marcos@jequitibaambiental.com.br</w:t>
            </w:r>
          </w:p>
          <w:p w:rsidR="005B33DB" w:rsidRPr="00BD60CF" w:rsidRDefault="002912DF" w:rsidP="002912DF">
            <w:pPr>
              <w:rPr>
                <w:rFonts w:ascii="Times New Roman" w:hAnsi="Times New Roman" w:cs="Times New Roman"/>
              </w:rPr>
            </w:pPr>
            <w:r w:rsidRPr="00BD60CF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(Marcos </w:t>
            </w:r>
            <w:proofErr w:type="spellStart"/>
            <w:r w:rsidRPr="00BD60CF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Birchal</w:t>
            </w:r>
            <w:proofErr w:type="spellEnd"/>
            <w:r w:rsidRPr="00BD60CF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de Moura – Procurador)</w:t>
            </w:r>
          </w:p>
        </w:tc>
      </w:tr>
      <w:tr w:rsidR="007F5FBA" w:rsidRPr="00BD60CF" w:rsidTr="00ED0EFA">
        <w:tc>
          <w:tcPr>
            <w:tcW w:w="5000" w:type="pct"/>
            <w:gridSpan w:val="8"/>
          </w:tcPr>
          <w:p w:rsidR="007F5FBA" w:rsidRPr="00BD60CF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BD60CF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BD60CF" w:rsidTr="00ED0EFA">
        <w:tc>
          <w:tcPr>
            <w:tcW w:w="5000" w:type="pct"/>
            <w:gridSpan w:val="8"/>
            <w:shd w:val="clear" w:color="auto" w:fill="E7E6E6" w:themeFill="background2"/>
          </w:tcPr>
          <w:p w:rsidR="007F5FBA" w:rsidRPr="00BD60CF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BD60CF" w:rsidTr="00B03653">
        <w:tc>
          <w:tcPr>
            <w:tcW w:w="2396" w:type="pct"/>
            <w:gridSpan w:val="3"/>
          </w:tcPr>
          <w:p w:rsidR="007F5FBA" w:rsidRPr="00BD60CF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BD60CF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4" w:type="pct"/>
            <w:gridSpan w:val="5"/>
          </w:tcPr>
          <w:p w:rsidR="007F5FBA" w:rsidRPr="00BD60CF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BD60C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BD60CF" w:rsidTr="00B03653">
        <w:tc>
          <w:tcPr>
            <w:tcW w:w="2396" w:type="pct"/>
            <w:gridSpan w:val="3"/>
          </w:tcPr>
          <w:p w:rsidR="007F5FBA" w:rsidRPr="00BD60CF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BD60CF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4" w:type="pct"/>
            <w:gridSpan w:val="5"/>
          </w:tcPr>
          <w:p w:rsidR="007F5FBA" w:rsidRPr="00BD60CF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BD60CF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BD60CF" w:rsidTr="00B03653">
        <w:tc>
          <w:tcPr>
            <w:tcW w:w="2396" w:type="pct"/>
            <w:gridSpan w:val="3"/>
          </w:tcPr>
          <w:p w:rsidR="007F5FBA" w:rsidRPr="00BD60CF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BD60CF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1093" w:type="pct"/>
            <w:gridSpan w:val="3"/>
          </w:tcPr>
          <w:p w:rsidR="007F5FBA" w:rsidRPr="00BD60CF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BD60CF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510" w:type="pct"/>
            <w:gridSpan w:val="2"/>
          </w:tcPr>
          <w:p w:rsidR="007F5FBA" w:rsidRPr="00BD60CF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BD60CF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BD60CF" w:rsidTr="00B03653">
        <w:tc>
          <w:tcPr>
            <w:tcW w:w="2396" w:type="pct"/>
            <w:gridSpan w:val="3"/>
          </w:tcPr>
          <w:p w:rsidR="007F5FBA" w:rsidRPr="00BD60CF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BD60C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4" w:type="pct"/>
            <w:gridSpan w:val="5"/>
          </w:tcPr>
          <w:p w:rsidR="007F5FBA" w:rsidRPr="00BD60CF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BD60CF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BD60CF" w:rsidTr="00ED0EFA"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:rsidR="007F5FBA" w:rsidRPr="00BD60CF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D60C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BD60CF" w:rsidTr="00CF0E38">
        <w:tc>
          <w:tcPr>
            <w:tcW w:w="3490" w:type="pct"/>
            <w:gridSpan w:val="6"/>
          </w:tcPr>
          <w:p w:rsidR="007F5FBA" w:rsidRPr="00BD60CF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BD60CF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BD60CF">
              <w:rPr>
                <w:rFonts w:ascii="Times New Roman" w:eastAsia="Arial" w:hAnsi="Times New Roman" w:cs="Times New Roman"/>
              </w:rPr>
              <w:t xml:space="preserve"> </w:t>
            </w:r>
            <w:r w:rsidR="002912DF" w:rsidRPr="00BD60CF">
              <w:rPr>
                <w:rFonts w:ascii="Times New Roman" w:hAnsi="Times New Roman" w:cs="Times New Roman"/>
              </w:rPr>
              <w:t>Al. Miracete, Lote 02, Quadra 14 – Ville de Moutagne</w:t>
            </w:r>
          </w:p>
        </w:tc>
        <w:tc>
          <w:tcPr>
            <w:tcW w:w="1510" w:type="pct"/>
            <w:gridSpan w:val="2"/>
          </w:tcPr>
          <w:p w:rsidR="007F5FBA" w:rsidRPr="00BD60CF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BD60C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BD60C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BD60C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BD60CF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BD60C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Pr="00BD60CF">
              <w:rPr>
                <w:rFonts w:ascii="Times New Roman" w:eastAsia="Arial" w:hAnsi="Times New Roman" w:cs="Times New Roman"/>
              </w:rPr>
              <w:t xml:space="preserve"> </w:t>
            </w:r>
            <w:r w:rsidR="002912DF" w:rsidRPr="00BD60CF">
              <w:rPr>
                <w:rFonts w:ascii="Times New Roman" w:hAnsi="Times New Roman" w:cs="Times New Roman"/>
              </w:rPr>
              <w:t>1.830,00</w:t>
            </w:r>
          </w:p>
        </w:tc>
      </w:tr>
      <w:tr w:rsidR="007F5FBA" w:rsidRPr="00BD60CF" w:rsidTr="00CF0E38">
        <w:tc>
          <w:tcPr>
            <w:tcW w:w="3490" w:type="pct"/>
            <w:gridSpan w:val="6"/>
          </w:tcPr>
          <w:p w:rsidR="007F5FBA" w:rsidRPr="00BD60CF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BD60CF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BD60CF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510" w:type="pct"/>
            <w:gridSpan w:val="2"/>
          </w:tcPr>
          <w:p w:rsidR="007F5FBA" w:rsidRPr="00BD60CF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BD60CF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BD60CF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BD60CF" w:rsidTr="00B03653">
        <w:tc>
          <w:tcPr>
            <w:tcW w:w="1211" w:type="pct"/>
          </w:tcPr>
          <w:p w:rsidR="007F5FBA" w:rsidRPr="00BD60CF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BD60CF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CD4B72"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1.597</w:t>
            </w:r>
          </w:p>
        </w:tc>
        <w:tc>
          <w:tcPr>
            <w:tcW w:w="1185" w:type="pct"/>
            <w:gridSpan w:val="2"/>
          </w:tcPr>
          <w:p w:rsidR="007F5FBA" w:rsidRPr="00BD60CF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093" w:type="pct"/>
            <w:gridSpan w:val="3"/>
          </w:tcPr>
          <w:p w:rsidR="007F5FBA" w:rsidRPr="00BD60CF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BD60CF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510" w:type="pct"/>
            <w:gridSpan w:val="2"/>
          </w:tcPr>
          <w:p w:rsidR="007F5FBA" w:rsidRPr="00BD60CF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BD60CF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BD60CF" w:rsidTr="00ED0EFA">
        <w:tc>
          <w:tcPr>
            <w:tcW w:w="5000" w:type="pct"/>
            <w:gridSpan w:val="8"/>
          </w:tcPr>
          <w:p w:rsidR="007F5FBA" w:rsidRPr="00BD60CF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BD60CF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BD60CF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BD60CF" w:rsidTr="00ED0EFA">
        <w:tc>
          <w:tcPr>
            <w:tcW w:w="5000" w:type="pct"/>
            <w:gridSpan w:val="8"/>
            <w:shd w:val="clear" w:color="auto" w:fill="E7E6E6" w:themeFill="background2"/>
          </w:tcPr>
          <w:p w:rsidR="007F5FBA" w:rsidRPr="00BD60CF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BD60CF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BD60CF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BD60CF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BD60CF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BD60CF" w:rsidTr="00ED0EFA">
        <w:tc>
          <w:tcPr>
            <w:tcW w:w="5000" w:type="pct"/>
            <w:gridSpan w:val="8"/>
          </w:tcPr>
          <w:p w:rsidR="007F5FBA" w:rsidRPr="00BD60CF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BD60CF" w:rsidTr="00ED0EFA">
        <w:tc>
          <w:tcPr>
            <w:tcW w:w="3490" w:type="pct"/>
            <w:gridSpan w:val="6"/>
          </w:tcPr>
          <w:p w:rsidR="007F5FBA" w:rsidRPr="00BD60CF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BD60CF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BD60CF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BD60CF" w:rsidTr="00ED0EFA">
        <w:tc>
          <w:tcPr>
            <w:tcW w:w="3490" w:type="pct"/>
            <w:gridSpan w:val="6"/>
          </w:tcPr>
          <w:p w:rsidR="007F5FBA" w:rsidRPr="00BD60CF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2912DF" w:rsidRPr="00BD60CF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 xml:space="preserve"> ) médio (  ) avançado</w:t>
            </w:r>
          </w:p>
        </w:tc>
        <w:tc>
          <w:tcPr>
            <w:tcW w:w="687" w:type="pct"/>
          </w:tcPr>
          <w:p w:rsidR="007F5FBA" w:rsidRPr="00BD60CF" w:rsidRDefault="002912DF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  <w:sz w:val="21"/>
                <w:szCs w:val="21"/>
              </w:rPr>
              <w:t>811,84</w:t>
            </w:r>
          </w:p>
        </w:tc>
        <w:tc>
          <w:tcPr>
            <w:tcW w:w="823" w:type="pct"/>
          </w:tcPr>
          <w:p w:rsidR="007F5FBA" w:rsidRPr="00BD60CF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0CF">
              <w:rPr>
                <w:rFonts w:ascii="Times New Roman" w:hAnsi="Times New Roman" w:cs="Times New Roman"/>
              </w:rPr>
              <w:t>m</w:t>
            </w:r>
            <w:r w:rsidRPr="00BD60C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082F6B" w:rsidTr="00ED0EFA">
        <w:tc>
          <w:tcPr>
            <w:tcW w:w="3490" w:type="pct"/>
            <w:gridSpan w:val="6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COM supressão de cobertura vegetal nativa.</w:t>
            </w:r>
          </w:p>
        </w:tc>
        <w:tc>
          <w:tcPr>
            <w:tcW w:w="687" w:type="pct"/>
          </w:tcPr>
          <w:p w:rsidR="007F5FBA" w:rsidRPr="00082F6B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A0650D">
        <w:tc>
          <w:tcPr>
            <w:tcW w:w="3490" w:type="pct"/>
            <w:gridSpan w:val="6"/>
            <w:shd w:val="clear" w:color="auto" w:fill="auto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SEM supressão de cobertura vegetal nativa.</w:t>
            </w:r>
          </w:p>
        </w:tc>
        <w:tc>
          <w:tcPr>
            <w:tcW w:w="687" w:type="pct"/>
            <w:shd w:val="clear" w:color="auto" w:fill="auto"/>
          </w:tcPr>
          <w:p w:rsidR="007F5FBA" w:rsidRPr="00082F6B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A0650D">
        <w:tc>
          <w:tcPr>
            <w:tcW w:w="3490" w:type="pct"/>
            <w:gridSpan w:val="6"/>
            <w:shd w:val="clear" w:color="auto" w:fill="auto"/>
          </w:tcPr>
          <w:p w:rsidR="007F5FBA" w:rsidRPr="00A0650D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b/>
                <w:sz w:val="21"/>
                <w:szCs w:val="21"/>
              </w:rPr>
              <w:t>4.2 Corte ou aproveitamento de árvores isoladas nativas vivas</w:t>
            </w:r>
          </w:p>
        </w:tc>
        <w:tc>
          <w:tcPr>
            <w:tcW w:w="687" w:type="pct"/>
            <w:shd w:val="clear" w:color="auto" w:fill="auto"/>
          </w:tcPr>
          <w:p w:rsidR="007F5FBA" w:rsidRPr="00A0650D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A0650D">
        <w:tc>
          <w:tcPr>
            <w:tcW w:w="3490" w:type="pct"/>
            <w:gridSpan w:val="6"/>
            <w:shd w:val="clear" w:color="auto" w:fill="auto"/>
          </w:tcPr>
          <w:p w:rsidR="007F5FBA" w:rsidRPr="00A0650D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b/>
                <w:sz w:val="21"/>
                <w:szCs w:val="21"/>
              </w:rPr>
              <w:t>4.3 Vegetação de Campo de Altitude e Campos Rupestres</w:t>
            </w:r>
            <w:r w:rsidR="00ED0EFA" w:rsidRPr="00A0650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estágio médio</w:t>
            </w:r>
          </w:p>
        </w:tc>
        <w:tc>
          <w:tcPr>
            <w:tcW w:w="687" w:type="pct"/>
            <w:shd w:val="clear" w:color="auto" w:fill="auto"/>
          </w:tcPr>
          <w:p w:rsidR="007F5FBA" w:rsidRPr="00A0650D" w:rsidRDefault="007F5FBA" w:rsidP="005852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58527A" w:rsidRDefault="0058527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527A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58527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7F5FBA" w:rsidRPr="00082F6B" w:rsidTr="00A0650D">
        <w:tc>
          <w:tcPr>
            <w:tcW w:w="5000" w:type="pct"/>
            <w:gridSpan w:val="8"/>
            <w:shd w:val="clear" w:color="auto" w:fill="auto"/>
          </w:tcPr>
          <w:p w:rsidR="007F5FBA" w:rsidRPr="00A0650D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b/>
                <w:sz w:val="21"/>
                <w:szCs w:val="21"/>
              </w:rPr>
              <w:t>4.4 Espécies</w:t>
            </w:r>
            <w:r w:rsidRPr="00A0650D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A0650D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082F6B" w:rsidTr="00B03653">
        <w:tc>
          <w:tcPr>
            <w:tcW w:w="2396" w:type="pct"/>
            <w:gridSpan w:val="3"/>
            <w:shd w:val="clear" w:color="auto" w:fill="auto"/>
          </w:tcPr>
          <w:p w:rsidR="007F5FBA" w:rsidRPr="00A0650D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3" w:type="pct"/>
            <w:gridSpan w:val="3"/>
            <w:shd w:val="clear" w:color="auto" w:fill="auto"/>
          </w:tcPr>
          <w:p w:rsidR="007F5FBA" w:rsidRPr="00A0650D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  <w:shd w:val="clear" w:color="auto" w:fill="auto"/>
          </w:tcPr>
          <w:p w:rsidR="007F5FBA" w:rsidRPr="00A0650D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082F6B" w:rsidTr="00B03653">
        <w:tc>
          <w:tcPr>
            <w:tcW w:w="2396" w:type="pct"/>
            <w:gridSpan w:val="3"/>
            <w:shd w:val="clear" w:color="auto" w:fill="auto"/>
          </w:tcPr>
          <w:p w:rsidR="007F5FBA" w:rsidRPr="00A0650D" w:rsidRDefault="002912D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93" w:type="pct"/>
            <w:gridSpan w:val="3"/>
            <w:shd w:val="clear" w:color="auto" w:fill="auto"/>
          </w:tcPr>
          <w:p w:rsidR="007F5FBA" w:rsidRPr="00A0650D" w:rsidRDefault="002912D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87" w:type="pct"/>
            <w:shd w:val="clear" w:color="auto" w:fill="auto"/>
          </w:tcPr>
          <w:p w:rsidR="007F5FBA" w:rsidRPr="00A0650D" w:rsidRDefault="002912D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A0650D" w:rsidRDefault="002912D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F5FBA" w:rsidRPr="00082F6B" w:rsidTr="00A0650D">
        <w:tc>
          <w:tcPr>
            <w:tcW w:w="5000" w:type="pct"/>
            <w:gridSpan w:val="8"/>
            <w:shd w:val="clear" w:color="auto" w:fill="auto"/>
          </w:tcPr>
          <w:p w:rsidR="007F5FBA" w:rsidRPr="00A0650D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082F6B" w:rsidTr="00A0650D">
        <w:tc>
          <w:tcPr>
            <w:tcW w:w="5000" w:type="pct"/>
            <w:gridSpan w:val="8"/>
            <w:shd w:val="clear" w:color="auto" w:fill="auto"/>
          </w:tcPr>
          <w:p w:rsidR="007F5FBA" w:rsidRPr="00A0650D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0650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082F6B" w:rsidTr="00B03653">
        <w:tc>
          <w:tcPr>
            <w:tcW w:w="3344" w:type="pct"/>
            <w:gridSpan w:val="5"/>
            <w:shd w:val="clear" w:color="auto" w:fill="auto"/>
            <w:vAlign w:val="center"/>
          </w:tcPr>
          <w:p w:rsidR="007F5FBA" w:rsidRPr="00A0650D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0650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7F5FBA" w:rsidRPr="00A0650D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0650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082F6B" w:rsidTr="00B03653">
        <w:tc>
          <w:tcPr>
            <w:tcW w:w="3344" w:type="pct"/>
            <w:gridSpan w:val="5"/>
            <w:shd w:val="clear" w:color="auto" w:fill="auto"/>
            <w:vAlign w:val="center"/>
          </w:tcPr>
          <w:p w:rsidR="007F5FBA" w:rsidRPr="00A0650D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7F5FBA" w:rsidRPr="00A0650D" w:rsidRDefault="002912DF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0650D">
              <w:rPr>
                <w:rFonts w:ascii="Times New Roman" w:hAnsi="Times New Roman" w:cs="Times New Roman"/>
                <w:sz w:val="21"/>
                <w:szCs w:val="21"/>
              </w:rPr>
              <w:t>1,81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B03653">
        <w:tc>
          <w:tcPr>
            <w:tcW w:w="3344" w:type="pct"/>
            <w:gridSpan w:val="5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5.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1.2 Lenha de espécimes nativa</w:t>
            </w:r>
          </w:p>
        </w:tc>
        <w:tc>
          <w:tcPr>
            <w:tcW w:w="833" w:type="pct"/>
            <w:gridSpan w:val="2"/>
          </w:tcPr>
          <w:p w:rsidR="007F5FBA" w:rsidRPr="00082F6B" w:rsidRDefault="002912DF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1,48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B03653">
        <w:tc>
          <w:tcPr>
            <w:tcW w:w="3344" w:type="pct"/>
            <w:gridSpan w:val="5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.1.3 Madeira de espécimes exótica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B03653">
        <w:tc>
          <w:tcPr>
            <w:tcW w:w="3344" w:type="pct"/>
            <w:gridSpan w:val="5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.1.4 Lenha de espécimes exótica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APROVEITAMENTO SOCIOECONÔMICO DO PRODUTO OU SUBPRODUTO FLORESTAL/VEGETAL</w:t>
            </w:r>
          </w:p>
        </w:tc>
      </w:tr>
      <w:tr w:rsidR="007F5FBA" w:rsidRPr="00082F6B" w:rsidTr="00ED0EFA">
        <w:tc>
          <w:tcPr>
            <w:tcW w:w="5000" w:type="pct"/>
            <w:gridSpan w:val="8"/>
            <w:vAlign w:val="center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082F6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(</w:t>
            </w:r>
            <w:proofErr w:type="gramStart"/>
            <w:r w:rsidR="002D540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082F6B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7F5FBA" w:rsidRPr="00082F6B" w:rsidTr="00ED0EFA"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:rsidR="007F5FBA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082F6B" w:rsidTr="00ED0EFA">
        <w:tc>
          <w:tcPr>
            <w:tcW w:w="5000" w:type="pct"/>
            <w:gridSpan w:val="8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AE0A6E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8"/>
            <w:shd w:val="clear" w:color="auto" w:fill="D0CECE" w:themeFill="background2" w:themeFillShade="E6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1" w:name="_Hlk120089829"/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8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F10C71">
              <w:rPr>
                <w:rFonts w:ascii="Times New Roman" w:hAnsi="Times New Roman" w:cs="Times New Roman"/>
                <w:sz w:val="21"/>
                <w:szCs w:val="21"/>
              </w:rPr>
              <w:t>668,49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8"/>
          </w:tcPr>
          <w:p w:rsidR="006A7637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>Data da Vistoria</w:t>
            </w:r>
            <w:r w:rsidRPr="00DA2FC6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6A7637" w:rsidRPr="00DA2FC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912DF" w:rsidRPr="00DA2FC6">
              <w:rPr>
                <w:rFonts w:ascii="Times New Roman" w:hAnsi="Times New Roman" w:cs="Times New Roman"/>
                <w:sz w:val="21"/>
                <w:szCs w:val="21"/>
              </w:rPr>
              <w:t>15/07/2024</w:t>
            </w:r>
            <w:r w:rsidR="00AF3EDE" w:rsidRPr="00DA2FC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8"/>
            <w:shd w:val="clear" w:color="auto" w:fill="D0CECE" w:themeFill="background2" w:themeFillShade="E6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8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648"/>
        <w:gridCol w:w="6696"/>
        <w:gridCol w:w="1971"/>
      </w:tblGrid>
      <w:tr w:rsidR="00512026" w:rsidRPr="00B90FD0" w:rsidTr="008304A0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bookmarkEnd w:id="0"/>
          <w:bookmarkEnd w:id="1"/>
          <w:p w:rsidR="00512026" w:rsidRPr="00B452AE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B452AE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B90FD0" w:rsidTr="008304A0">
        <w:trPr>
          <w:trHeight w:val="416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474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512026" w:rsidRPr="00B90FD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B90FD0" w:rsidTr="008304A0">
        <w:trPr>
          <w:trHeight w:val="405"/>
        </w:trPr>
        <w:tc>
          <w:tcPr>
            <w:tcW w:w="5000" w:type="pct"/>
            <w:gridSpan w:val="4"/>
          </w:tcPr>
          <w:p w:rsidR="00512026" w:rsidRPr="00B452AE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B452AE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B90FD0" w:rsidTr="008304A0">
        <w:trPr>
          <w:trHeight w:val="852"/>
        </w:trPr>
        <w:tc>
          <w:tcPr>
            <w:tcW w:w="5000" w:type="pct"/>
            <w:gridSpan w:val="4"/>
          </w:tcPr>
          <w:p w:rsidR="00512026" w:rsidRPr="00B452AE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B452A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  <w:tr w:rsidR="00B452AE" w:rsidRPr="00E017D9" w:rsidTr="00753A0C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bottom"/>
          </w:tcPr>
          <w:p w:rsidR="00B452AE" w:rsidRPr="00B452AE" w:rsidRDefault="00B452AE" w:rsidP="00753A0C">
            <w:pPr>
              <w:pStyle w:val="TableParagraph"/>
              <w:spacing w:before="83" w:line="240" w:lineRule="auto"/>
              <w:ind w:left="10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9.</w:t>
            </w:r>
            <w:r w:rsidRPr="00B452AE">
              <w:rPr>
                <w:rFonts w:ascii="Times New Roman" w:hAnsi="Times New Roman" w:cs="Times New Roman"/>
                <w:b/>
                <w:spacing w:val="25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OBSERVAÇÕES</w:t>
            </w:r>
          </w:p>
        </w:tc>
      </w:tr>
      <w:tr w:rsidR="00B452AE" w:rsidRPr="00E017D9" w:rsidTr="00753A0C">
        <w:trPr>
          <w:trHeight w:val="205"/>
        </w:trPr>
        <w:tc>
          <w:tcPr>
            <w:tcW w:w="216" w:type="pct"/>
            <w:vAlign w:val="center"/>
          </w:tcPr>
          <w:p w:rsidR="00B452AE" w:rsidRPr="00B452AE" w:rsidRDefault="00B0544B" w:rsidP="00753A0C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01"/>
                <w:sz w:val="21"/>
                <w:szCs w:val="21"/>
              </w:rPr>
              <w:t>1</w:t>
            </w:r>
          </w:p>
        </w:tc>
        <w:tc>
          <w:tcPr>
            <w:tcW w:w="4784" w:type="pct"/>
            <w:gridSpan w:val="3"/>
            <w:vAlign w:val="bottom"/>
          </w:tcPr>
          <w:p w:rsidR="00B452AE" w:rsidRPr="00AE0A6E" w:rsidRDefault="00B452AE" w:rsidP="00753A0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Compensação por espécie ameaçada e protegida: Não há.</w:t>
            </w:r>
          </w:p>
        </w:tc>
      </w:tr>
    </w:tbl>
    <w:p w:rsidR="00B452AE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0544B" w:rsidRDefault="00B0544B" w:rsidP="006A6D1A">
      <w:pPr>
        <w:spacing w:after="0" w:line="240" w:lineRule="auto"/>
        <w:rPr>
          <w:rFonts w:ascii="Times New Roman" w:hAnsi="Times New Roman" w:cs="Times New Roman"/>
        </w:rPr>
      </w:pPr>
    </w:p>
    <w:p w:rsidR="00B0544B" w:rsidRDefault="00B0544B" w:rsidP="006A6D1A">
      <w:pPr>
        <w:spacing w:after="0" w:line="240" w:lineRule="auto"/>
        <w:rPr>
          <w:rFonts w:ascii="Times New Roman" w:hAnsi="Times New Roman" w:cs="Times New Roman"/>
        </w:rPr>
      </w:pPr>
    </w:p>
    <w:p w:rsidR="00B0544B" w:rsidRDefault="00B0544B" w:rsidP="006A6D1A">
      <w:pPr>
        <w:spacing w:after="0" w:line="240" w:lineRule="auto"/>
        <w:rPr>
          <w:rFonts w:ascii="Times New Roman" w:hAnsi="Times New Roman" w:cs="Times New Roman"/>
        </w:rPr>
      </w:pPr>
    </w:p>
    <w:p w:rsidR="00B0544B" w:rsidRDefault="00B0544B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90FD0" w:rsidRPr="00594FE0" w:rsidRDefault="00253767" w:rsidP="00B90FD0">
      <w:pPr>
        <w:rPr>
          <w:rFonts w:ascii="Times New Roman" w:hAnsi="Times New Roman" w:cs="Times New Roman"/>
          <w:u w:val="single"/>
        </w:rPr>
      </w:pPr>
      <w:r w:rsidRPr="00594FE0">
        <w:rPr>
          <w:rFonts w:ascii="Times New Roman" w:hAnsi="Times New Roman" w:cs="Times New Roman"/>
          <w:u w:val="single"/>
        </w:rPr>
        <w:t>Planta de Situação</w:t>
      </w:r>
    </w:p>
    <w:p w:rsidR="00030779" w:rsidRDefault="00B0544B" w:rsidP="00B0544B">
      <w:pPr>
        <w:ind w:left="709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4361B48E" wp14:editId="1ECA28D5">
            <wp:extent cx="5274184" cy="8048625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3864" t="15322" r="26585" b="4506"/>
                    <a:stretch/>
                  </pic:blipFill>
                  <pic:spPr bwMode="auto">
                    <a:xfrm>
                      <a:off x="0" y="0"/>
                      <a:ext cx="5287573" cy="8069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026" w:rsidRDefault="00512026" w:rsidP="009F0AE0">
      <w:pPr>
        <w:rPr>
          <w:rFonts w:ascii="Times New Roman" w:hAnsi="Times New Roman" w:cs="Times New Roman"/>
        </w:rPr>
      </w:pPr>
    </w:p>
    <w:p w:rsidR="00512026" w:rsidRDefault="00512026" w:rsidP="009F0AE0">
      <w:pPr>
        <w:rPr>
          <w:rFonts w:ascii="Times New Roman" w:hAnsi="Times New Roman" w:cs="Times New Roman"/>
        </w:rPr>
      </w:pPr>
    </w:p>
    <w:p w:rsidR="00512026" w:rsidRPr="00594FE0" w:rsidRDefault="00512026" w:rsidP="009F0AE0">
      <w:pPr>
        <w:rPr>
          <w:rFonts w:ascii="Times New Roman" w:hAnsi="Times New Roman" w:cs="Times New Roman"/>
          <w:u w:val="single"/>
        </w:rPr>
      </w:pPr>
      <w:r w:rsidRPr="00594FE0">
        <w:rPr>
          <w:rFonts w:ascii="Times New Roman" w:hAnsi="Times New Roman" w:cs="Times New Roman"/>
          <w:u w:val="single"/>
        </w:rPr>
        <w:t>Planta de Compensação Externa</w:t>
      </w:r>
    </w:p>
    <w:p w:rsidR="00512026" w:rsidRDefault="00B0544B" w:rsidP="00B0544B">
      <w:pPr>
        <w:ind w:left="709"/>
        <w:rPr>
          <w:rFonts w:ascii="Times New Roman" w:hAnsi="Times New Roman" w:cs="Times New Roman"/>
        </w:rPr>
      </w:pPr>
      <w:bookmarkStart w:id="2" w:name="_GoBack"/>
      <w:r>
        <w:rPr>
          <w:noProof/>
        </w:rPr>
        <w:drawing>
          <wp:inline distT="0" distB="0" distL="0" distR="0" wp14:anchorId="0142CEA8" wp14:editId="4BE1C0EC">
            <wp:extent cx="5085177" cy="8020050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5553" t="20249" r="37513" b="4231"/>
                    <a:stretch/>
                  </pic:blipFill>
                  <pic:spPr bwMode="auto">
                    <a:xfrm>
                      <a:off x="0" y="0"/>
                      <a:ext cx="5099649" cy="80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:rsidR="00512026" w:rsidRPr="00C022CB" w:rsidRDefault="00512026" w:rsidP="009F0AE0">
      <w:pPr>
        <w:rPr>
          <w:rFonts w:ascii="Times New Roman" w:hAnsi="Times New Roman" w:cs="Times New Roman"/>
        </w:rPr>
      </w:pPr>
    </w:p>
    <w:sectPr w:rsidR="00512026" w:rsidRPr="00C022CB" w:rsidSect="00CA327A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32F30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12DF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7541F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204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0650D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AF3EDE"/>
    <w:rsid w:val="00B03653"/>
    <w:rsid w:val="00B04569"/>
    <w:rsid w:val="00B0544B"/>
    <w:rsid w:val="00B14F47"/>
    <w:rsid w:val="00B20363"/>
    <w:rsid w:val="00B34665"/>
    <w:rsid w:val="00B452AE"/>
    <w:rsid w:val="00B509D2"/>
    <w:rsid w:val="00B90FD0"/>
    <w:rsid w:val="00BA0E26"/>
    <w:rsid w:val="00BA3A40"/>
    <w:rsid w:val="00BC053E"/>
    <w:rsid w:val="00BD596F"/>
    <w:rsid w:val="00BD60C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F0E38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2FC6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F05FDA"/>
    <w:rsid w:val="00F06786"/>
    <w:rsid w:val="00F10C71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502CF0F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47C50-009B-4CA5-850C-DC2A7872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19</cp:revision>
  <cp:lastPrinted>2022-08-11T19:11:00Z</cp:lastPrinted>
  <dcterms:created xsi:type="dcterms:W3CDTF">2023-03-10T17:07:00Z</dcterms:created>
  <dcterms:modified xsi:type="dcterms:W3CDTF">2024-07-17T17:36:00Z</dcterms:modified>
</cp:coreProperties>
</file>