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CC788" w14:textId="59018C9E" w:rsidR="00EE597A" w:rsidRDefault="0064509C" w:rsidP="0064509C">
      <w:pPr>
        <w:jc w:val="center"/>
        <w:rPr>
          <w:rFonts w:ascii="Times New Roman" w:hAnsi="Times New Roman" w:cs="Times New Roman"/>
          <w:sz w:val="24"/>
          <w:szCs w:val="24"/>
        </w:rPr>
      </w:pPr>
      <w:r w:rsidRPr="0064509C">
        <w:rPr>
          <w:rFonts w:ascii="Times New Roman" w:hAnsi="Times New Roman" w:cs="Times New Roman"/>
          <w:sz w:val="24"/>
          <w:szCs w:val="24"/>
        </w:rPr>
        <w:t>PARECER TÉCNICO</w:t>
      </w:r>
    </w:p>
    <w:p w14:paraId="2B7C7F56" w14:textId="77777777" w:rsidR="0064509C" w:rsidRPr="0064509C" w:rsidRDefault="0064509C" w:rsidP="0064509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849728" w14:textId="2AB76745" w:rsidR="0064509C" w:rsidRDefault="0064509C">
      <w:pPr>
        <w:rPr>
          <w:rFonts w:ascii="Times New Roman" w:hAnsi="Times New Roman" w:cs="Times New Roman"/>
          <w:sz w:val="24"/>
          <w:szCs w:val="24"/>
        </w:rPr>
      </w:pPr>
      <w:r w:rsidRPr="0064509C">
        <w:rPr>
          <w:rFonts w:ascii="Times New Roman" w:hAnsi="Times New Roman" w:cs="Times New Roman"/>
          <w:sz w:val="24"/>
          <w:szCs w:val="24"/>
        </w:rPr>
        <w:t>EMPREENDIMENTO</w:t>
      </w:r>
      <w:r>
        <w:rPr>
          <w:rFonts w:ascii="Times New Roman" w:hAnsi="Times New Roman" w:cs="Times New Roman"/>
          <w:sz w:val="24"/>
          <w:szCs w:val="24"/>
        </w:rPr>
        <w:t>: Loteamento Vitória da União</w:t>
      </w:r>
    </w:p>
    <w:p w14:paraId="27360354" w14:textId="6F0D9246" w:rsidR="0064509C" w:rsidRPr="0064509C" w:rsidRDefault="0064509C">
      <w:pPr>
        <w:rPr>
          <w:rFonts w:ascii="Times New Roman" w:hAnsi="Times New Roman" w:cs="Times New Roman"/>
          <w:sz w:val="24"/>
          <w:szCs w:val="24"/>
        </w:rPr>
      </w:pPr>
      <w:r w:rsidRPr="006450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B0C31F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INTRODUÇÃO</w:t>
      </w:r>
    </w:p>
    <w:p w14:paraId="253A7293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A440C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B46A8">
        <w:rPr>
          <w:rFonts w:ascii="Times New Roman" w:hAnsi="Times New Roman" w:cs="Times New Roman"/>
          <w:sz w:val="24"/>
          <w:szCs w:val="24"/>
        </w:rPr>
        <w:t>O presente parecer visa subsidiar</w:t>
      </w:r>
      <w:r>
        <w:rPr>
          <w:rFonts w:ascii="Times New Roman" w:hAnsi="Times New Roman" w:cs="Times New Roman"/>
          <w:sz w:val="24"/>
          <w:szCs w:val="24"/>
        </w:rPr>
        <w:t xml:space="preserve"> a conferência dos indivíduos que serão suprimidos para a implantação do loteamento Vitória da União. Bem como contabilizar a compensação pela supressão dessas espécies arbóreas, buscando garantir um meio ambiente mais justo para todos.</w:t>
      </w:r>
    </w:p>
    <w:p w14:paraId="1221679D" w14:textId="77777777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contabilizar a vegetação presente na área da intervenção, foi solicitado a realização de um inventário florestal. O inventário florestal é o método utilizado para mensurar os indivíduos arbóreos em uma área. Com suas informações é possível saber quais espécies existem na área, a quantidade de indivíduos, o volume de madeira, a distribuição dessas espécies na área, entre outras. </w:t>
      </w:r>
    </w:p>
    <w:p w14:paraId="2690B10D" w14:textId="77777777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Dessa forma, foi realizado a análise do Plano de Utilização Pretendida com Inventário Florestal pela Secretaria Municipal de Meio Ambiente, Desenvolvimento Econômico e Turismo – SEMADETUR referente a supressão de vegetação solicitada n</w:t>
      </w:r>
      <w:r w:rsidRPr="000E45B9">
        <w:rPr>
          <w:rFonts w:ascii="Times New Roman" w:hAnsi="Times New Roman" w:cs="Times New Roman"/>
          <w:sz w:val="24"/>
          <w:szCs w:val="24"/>
        </w:rPr>
        <w:t xml:space="preserve">o pedido de Licença de Instalação Corretiva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E45B9">
        <w:rPr>
          <w:rFonts w:ascii="Times New Roman" w:hAnsi="Times New Roman" w:cs="Times New Roman"/>
          <w:sz w:val="24"/>
          <w:szCs w:val="24"/>
        </w:rPr>
        <w:t xml:space="preserve"> LIC</w:t>
      </w:r>
      <w:r>
        <w:rPr>
          <w:rFonts w:ascii="Times New Roman" w:hAnsi="Times New Roman" w:cs="Times New Roman"/>
          <w:sz w:val="24"/>
          <w:szCs w:val="24"/>
        </w:rPr>
        <w:t xml:space="preserve"> do empreendimento Vitória da União.</w:t>
      </w:r>
    </w:p>
    <w:p w14:paraId="6F63AA94" w14:textId="2E1C5D3E" w:rsidR="0064509C" w:rsidRDefault="0064509C">
      <w:pPr>
        <w:rPr>
          <w:rFonts w:ascii="Times New Roman" w:hAnsi="Times New Roman" w:cs="Times New Roman"/>
          <w:sz w:val="24"/>
          <w:szCs w:val="24"/>
        </w:rPr>
      </w:pPr>
    </w:p>
    <w:p w14:paraId="4104B622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DO INVENTÁRIO FLORESTAL</w:t>
      </w:r>
    </w:p>
    <w:p w14:paraId="6CCC0F4A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37B06" w14:textId="77777777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67D6">
        <w:rPr>
          <w:rFonts w:ascii="Times New Roman" w:hAnsi="Times New Roman" w:cs="Times New Roman"/>
          <w:sz w:val="24"/>
          <w:szCs w:val="24"/>
        </w:rPr>
        <w:t xml:space="preserve">O empreendimento </w:t>
      </w:r>
      <w:r w:rsidRPr="002B46A8">
        <w:rPr>
          <w:rFonts w:ascii="Times New Roman" w:hAnsi="Times New Roman" w:cs="Times New Roman"/>
          <w:sz w:val="24"/>
          <w:szCs w:val="24"/>
        </w:rPr>
        <w:t>Loteamento Vitória da União</w:t>
      </w:r>
      <w:r w:rsidRPr="00ED67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está</w:t>
      </w:r>
      <w:r w:rsidRPr="00ED67D6">
        <w:rPr>
          <w:rFonts w:ascii="Times New Roman" w:hAnsi="Times New Roman" w:cs="Times New Roman"/>
          <w:sz w:val="24"/>
          <w:szCs w:val="24"/>
        </w:rPr>
        <w:t xml:space="preserve"> localiza</w:t>
      </w:r>
      <w:r>
        <w:rPr>
          <w:rFonts w:ascii="Times New Roman" w:hAnsi="Times New Roman" w:cs="Times New Roman"/>
          <w:sz w:val="24"/>
          <w:szCs w:val="24"/>
        </w:rPr>
        <w:t>do</w:t>
      </w:r>
      <w:r w:rsidRPr="00ED67D6">
        <w:rPr>
          <w:rFonts w:ascii="Times New Roman" w:hAnsi="Times New Roman" w:cs="Times New Roman"/>
          <w:sz w:val="24"/>
          <w:szCs w:val="24"/>
        </w:rPr>
        <w:t xml:space="preserve"> na Avenida Prefeito Alberto Moura, próximo </w:t>
      </w:r>
      <w:r>
        <w:rPr>
          <w:rFonts w:ascii="Times New Roman" w:hAnsi="Times New Roman" w:cs="Times New Roman"/>
          <w:sz w:val="24"/>
          <w:szCs w:val="24"/>
        </w:rPr>
        <w:t xml:space="preserve">ao nº 2400, </w:t>
      </w:r>
      <w:r w:rsidRPr="00ED67D6">
        <w:rPr>
          <w:rFonts w:ascii="Times New Roman" w:hAnsi="Times New Roman" w:cs="Times New Roman"/>
          <w:sz w:val="24"/>
          <w:szCs w:val="24"/>
        </w:rPr>
        <w:t xml:space="preserve">no município de Sete Lagoas – MG, nas </w:t>
      </w:r>
      <w:r w:rsidRPr="00ED67D6">
        <w:rPr>
          <w:rFonts w:ascii="Times New Roman" w:hAnsi="Times New Roman" w:cs="Times New Roman"/>
          <w:bCs/>
          <w:sz w:val="24"/>
          <w:szCs w:val="24"/>
        </w:rPr>
        <w:t>coordenadas geográficas</w:t>
      </w:r>
      <w:r w:rsidRPr="00ED67D6">
        <w:rPr>
          <w:rFonts w:ascii="Times New Roman" w:hAnsi="Times New Roman" w:cs="Times New Roman"/>
          <w:sz w:val="24"/>
          <w:szCs w:val="24"/>
        </w:rPr>
        <w:t xml:space="preserve"> 19°29' 27,23"S e 44°14' 58,81"O</w:t>
      </w:r>
      <w:r w:rsidRPr="00ED67D6">
        <w:rPr>
          <w:rFonts w:ascii="Times New Roman" w:hAnsi="Times New Roman" w:cs="Times New Roman"/>
          <w:bCs/>
          <w:sz w:val="24"/>
          <w:szCs w:val="24"/>
        </w:rPr>
        <w:t xml:space="preserve"> (FIGURA 1)</w:t>
      </w:r>
      <w:r w:rsidRPr="00ED67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4379CF" w14:textId="7E968785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D9EEF4" w14:textId="16B0E760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A91489" w14:textId="40858A43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15F28C" w14:textId="0B06C645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F0FDA4" w14:textId="413F3560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EF7194" w14:textId="6CE4FC1A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A85A46" w14:textId="009BE768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092831" w14:textId="77777777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A4D1F0" w14:textId="4FDCFAD0" w:rsidR="0064509C" w:rsidRDefault="0064509C" w:rsidP="0064509C">
      <w:pPr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lang w:eastAsia="pt-BR"/>
        </w:rPr>
        <w:lastRenderedPageBreak/>
        <w:t>FIGURA 0</w:t>
      </w:r>
      <w:r>
        <w:rPr>
          <w:rFonts w:ascii="Times New Roman" w:eastAsia="Times New Roman" w:hAnsi="Times New Roman"/>
          <w:color w:val="000000"/>
          <w:lang w:eastAsia="pt-BR"/>
        </w:rPr>
        <w:t xml:space="preserve">1. </w:t>
      </w:r>
      <w:r w:rsidRPr="009E78F6">
        <w:rPr>
          <w:rFonts w:ascii="Times New Roman" w:eastAsia="Times New Roman" w:hAnsi="Times New Roman"/>
          <w:color w:val="000000"/>
          <w:lang w:eastAsia="pt-BR"/>
        </w:rPr>
        <w:t>Mapa de localização do empreendimento</w:t>
      </w:r>
      <w:r>
        <w:rPr>
          <w:rFonts w:ascii="Times New Roman" w:eastAsia="Times New Roman" w:hAnsi="Times New Roman"/>
          <w:color w:val="000000"/>
          <w:lang w:eastAsia="pt-BR"/>
        </w:rPr>
        <w:t xml:space="preserve"> da </w:t>
      </w:r>
      <w:r>
        <w:rPr>
          <w:rFonts w:ascii="Times New Roman" w:hAnsi="Times New Roman"/>
        </w:rPr>
        <w:t>Vitória da União Empreendimentos Imobiliários LTDA.</w:t>
      </w:r>
    </w:p>
    <w:p w14:paraId="43BE7C74" w14:textId="77777777" w:rsidR="0064509C" w:rsidRDefault="0064509C" w:rsidP="0064509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0E3CED" wp14:editId="1C442D9C">
            <wp:extent cx="3862317" cy="3119321"/>
            <wp:effectExtent l="0" t="0" r="5080" b="5080"/>
            <wp:docPr id="2" name="Imagem 2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Mapa&#10;&#10;Descrição gerada automaticamente"/>
                    <pic:cNvPicPr/>
                  </pic:nvPicPr>
                  <pic:blipFill rotWithShape="1">
                    <a:blip r:embed="rId4"/>
                    <a:srcRect l="22156" t="9794" r="3903" b="10582"/>
                    <a:stretch/>
                  </pic:blipFill>
                  <pic:spPr bwMode="auto">
                    <a:xfrm>
                      <a:off x="0" y="0"/>
                      <a:ext cx="3872411" cy="312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71AC3" w14:textId="77777777" w:rsidR="0064509C" w:rsidRDefault="0064509C" w:rsidP="0064509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59F26A1E" w14:textId="6DCA7AC9" w:rsidR="0064509C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acordo com o PUP com inventário florestal foi realizado apenas no sistema viário (16,65 hectares) do empreendimento. Esse método tem sido utilizado em parcelamento do solo destinado a vendas de lotes. Uma vez que, o futuro proprietário do lote pode optar em não suprimir o indivíduo arbóreo quando este estiver dentro da área. Além de amenizar a intervenção no local, visto que ao manter o solo dessas áreas sem exposição, minimiza os danos que contribui com o assoreamento de cursos d’água, degradação do solo, entre vários outros fatores.</w:t>
      </w:r>
    </w:p>
    <w:p w14:paraId="43DDE288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área inventariada foi de 166.476,28 m² (16,65 hectares), a qual foi realizado a mensuração de todos os indivíduos com circunferência a 1,30 m do solo (</w:t>
      </w:r>
      <w:r w:rsidRPr="00E42D66">
        <w:rPr>
          <w:rFonts w:ascii="Times New Roman" w:hAnsi="Times New Roman" w:cs="Times New Roman"/>
          <w:i/>
          <w:iCs/>
          <w:sz w:val="24"/>
          <w:szCs w:val="24"/>
        </w:rPr>
        <w:t>CAP</w:t>
      </w:r>
      <w:r>
        <w:rPr>
          <w:rFonts w:ascii="Times New Roman" w:hAnsi="Times New Roman" w:cs="Times New Roman"/>
          <w:sz w:val="24"/>
          <w:szCs w:val="24"/>
        </w:rPr>
        <w:t xml:space="preserve">) maior ou igual a 15,7 cm. Esse método é conhecido como Inventário 100% ou CENSO. </w:t>
      </w:r>
    </w:p>
    <w:p w14:paraId="324848E2" w14:textId="784EF78A" w:rsidR="0064509C" w:rsidRDefault="0064509C" w:rsidP="00083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 local foi caracterizado com a presença de pastagem e árvores isoladas (ANEXO I). Segundo o PUP com Inventário Florestal protocolado foi mensurado 879 indivíduos de espécies nativa do Cerrado localizados dentro do Sistema Viário do loteamento. Dessa forma, o empreendimento Vitória da União solicitou a supressão desses 879 indivíduos, com volume total de 113,311 m³.</w:t>
      </w:r>
      <w:r w:rsidR="00083A0F">
        <w:rPr>
          <w:rFonts w:ascii="Times New Roman" w:hAnsi="Times New Roman" w:cs="Times New Roman"/>
          <w:sz w:val="24"/>
          <w:szCs w:val="24"/>
        </w:rPr>
        <w:t xml:space="preserve"> </w:t>
      </w:r>
      <w:r w:rsidR="00B027BC">
        <w:rPr>
          <w:rFonts w:ascii="Times New Roman" w:hAnsi="Times New Roman" w:cs="Times New Roman"/>
          <w:sz w:val="24"/>
          <w:szCs w:val="24"/>
        </w:rPr>
        <w:t>No entanto, pode-se observar a presença de 241 indivíduos de Palmeira Macaúba (</w:t>
      </w:r>
      <w:proofErr w:type="spellStart"/>
      <w:r w:rsidR="00B027BC" w:rsidRPr="00B027BC">
        <w:rPr>
          <w:rFonts w:ascii="Times New Roman" w:hAnsi="Times New Roman" w:cs="Times New Roman"/>
          <w:i/>
          <w:iCs/>
          <w:sz w:val="24"/>
          <w:szCs w:val="24"/>
        </w:rPr>
        <w:t>Acrocomia</w:t>
      </w:r>
      <w:proofErr w:type="spellEnd"/>
      <w:r w:rsidR="00B027BC" w:rsidRPr="00B027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027BC" w:rsidRPr="00B027BC">
        <w:rPr>
          <w:rFonts w:ascii="Times New Roman" w:hAnsi="Times New Roman" w:cs="Times New Roman"/>
          <w:i/>
          <w:iCs/>
          <w:sz w:val="24"/>
          <w:szCs w:val="24"/>
        </w:rPr>
        <w:t>aculeata</w:t>
      </w:r>
      <w:proofErr w:type="spellEnd"/>
      <w:r w:rsidR="00B027BC">
        <w:rPr>
          <w:rFonts w:ascii="Times New Roman" w:hAnsi="Times New Roman" w:cs="Times New Roman"/>
          <w:sz w:val="24"/>
          <w:szCs w:val="24"/>
        </w:rPr>
        <w:t xml:space="preserve">) dentre os 879 indivíduos. De acordo com o PUP com inventário florestal o volume da Palmeira Macaúba foi de 57,224 m³ e o volume total 113,311 m³. Esse volume foi estimado utilizando a equação do CETEC (1995) </w:t>
      </w:r>
      <w:r w:rsidR="00A73A1B">
        <w:rPr>
          <w:rFonts w:ascii="Times New Roman" w:hAnsi="Times New Roman" w:cs="Times New Roman"/>
          <w:sz w:val="24"/>
          <w:szCs w:val="24"/>
        </w:rPr>
        <w:t>de</w:t>
      </w:r>
      <w:r w:rsidR="00B027BC">
        <w:rPr>
          <w:rFonts w:ascii="Times New Roman" w:hAnsi="Times New Roman" w:cs="Times New Roman"/>
          <w:sz w:val="24"/>
          <w:szCs w:val="24"/>
        </w:rPr>
        <w:t xml:space="preserve"> Mata Secundária</w:t>
      </w:r>
      <w:r w:rsidR="00A73A1B">
        <w:rPr>
          <w:rFonts w:ascii="Times New Roman" w:hAnsi="Times New Roman" w:cs="Times New Roman"/>
          <w:sz w:val="24"/>
          <w:szCs w:val="24"/>
        </w:rPr>
        <w:t xml:space="preserve"> para espécies arbóreas</w:t>
      </w:r>
      <w:r w:rsidR="00083A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7B70E8" w14:textId="03BBFE62" w:rsidR="00083A0F" w:rsidRDefault="00083A0F" w:rsidP="00083A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destinação do material lenhoso informada pelo empreendedor será de lenha para uso dentro da propriedade de </w:t>
      </w:r>
      <w:r>
        <w:rPr>
          <w:rFonts w:ascii="Times New Roman" w:hAnsi="Times New Roman" w:cs="Times New Roman"/>
          <w:sz w:val="24"/>
          <w:szCs w:val="24"/>
        </w:rPr>
        <w:t>14,7523 m³</w:t>
      </w:r>
      <w:r>
        <w:rPr>
          <w:rFonts w:ascii="Times New Roman" w:hAnsi="Times New Roman" w:cs="Times New Roman"/>
          <w:sz w:val="24"/>
          <w:szCs w:val="24"/>
        </w:rPr>
        <w:t xml:space="preserve"> e de madeira para uso dentro da propriedade de 98,5587 m³. </w:t>
      </w:r>
      <w:r w:rsidR="00CD18F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Palmeira Macaúba </w:t>
      </w:r>
      <w:r w:rsidR="00CD18FA">
        <w:rPr>
          <w:rFonts w:ascii="Times New Roman" w:hAnsi="Times New Roman" w:cs="Times New Roman"/>
          <w:sz w:val="24"/>
          <w:szCs w:val="24"/>
        </w:rPr>
        <w:t>pode ser destinada para vários fins, sendo considerada como produto não madeireiro. Diante disso, a destinação dela deve ser retirada dos 113,311 m³ de madeira</w:t>
      </w:r>
      <w:r w:rsidR="00AE2E65">
        <w:rPr>
          <w:rFonts w:ascii="Times New Roman" w:hAnsi="Times New Roman" w:cs="Times New Roman"/>
          <w:sz w:val="24"/>
          <w:szCs w:val="24"/>
        </w:rPr>
        <w:t>.</w:t>
      </w:r>
      <w:r w:rsidR="00CD18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2DBE60" w14:textId="6FAB75CF" w:rsidR="0064509C" w:rsidRPr="00BE0D65" w:rsidRDefault="0064509C" w:rsidP="00E0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A74E3">
        <w:rPr>
          <w:rFonts w:ascii="Times New Roman" w:hAnsi="Times New Roman" w:cs="Times New Roman"/>
          <w:sz w:val="24"/>
          <w:szCs w:val="24"/>
          <w:lang w:bidi="pt-BR"/>
        </w:rPr>
        <w:t xml:space="preserve">Na área que sofrerá intervenção foram estimados </w:t>
      </w:r>
      <w:r>
        <w:rPr>
          <w:rFonts w:ascii="Times New Roman" w:hAnsi="Times New Roman" w:cs="Times New Roman"/>
          <w:sz w:val="24"/>
          <w:szCs w:val="24"/>
          <w:lang w:bidi="pt-BR"/>
        </w:rPr>
        <w:t>30</w:t>
      </w:r>
      <w:r w:rsidRPr="008A74E3">
        <w:rPr>
          <w:rFonts w:ascii="Times New Roman" w:hAnsi="Times New Roman" w:cs="Times New Roman"/>
          <w:sz w:val="24"/>
          <w:szCs w:val="24"/>
          <w:lang w:bidi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pt-BR"/>
        </w:rPr>
        <w:t>indivíduos de Ipê Amarelo (</w:t>
      </w:r>
      <w:proofErr w:type="spellStart"/>
      <w:r w:rsidRPr="008A74E3">
        <w:rPr>
          <w:rFonts w:ascii="Times New Roman" w:hAnsi="Times New Roman" w:cs="Times New Roman"/>
          <w:i/>
          <w:iCs/>
          <w:sz w:val="24"/>
          <w:szCs w:val="24"/>
          <w:lang w:bidi="pt-BR"/>
        </w:rPr>
        <w:t>Handroanthus</w:t>
      </w:r>
      <w:proofErr w:type="spellEnd"/>
      <w:r w:rsidRPr="008A74E3">
        <w:rPr>
          <w:rFonts w:ascii="Times New Roman" w:hAnsi="Times New Roman" w:cs="Times New Roman"/>
          <w:i/>
          <w:iCs/>
          <w:sz w:val="24"/>
          <w:szCs w:val="24"/>
          <w:lang w:bidi="pt-BR"/>
        </w:rPr>
        <w:t xml:space="preserve"> </w:t>
      </w:r>
      <w:proofErr w:type="spellStart"/>
      <w:r w:rsidRPr="008A74E3">
        <w:rPr>
          <w:rFonts w:ascii="Times New Roman" w:hAnsi="Times New Roman" w:cs="Times New Roman"/>
          <w:i/>
          <w:iCs/>
          <w:sz w:val="24"/>
          <w:szCs w:val="24"/>
          <w:lang w:bidi="pt-BR"/>
        </w:rPr>
        <w:t>ochraceus</w:t>
      </w:r>
      <w:proofErr w:type="spellEnd"/>
      <w:r w:rsidRPr="008A74E3">
        <w:rPr>
          <w:rFonts w:ascii="Times New Roman" w:hAnsi="Times New Roman" w:cs="Times New Roman"/>
          <w:sz w:val="24"/>
          <w:szCs w:val="24"/>
          <w:lang w:bidi="pt-BR"/>
        </w:rPr>
        <w:t>).</w:t>
      </w:r>
      <w:r>
        <w:rPr>
          <w:rFonts w:ascii="Times New Roman" w:hAnsi="Times New Roman" w:cs="Times New Roman"/>
          <w:sz w:val="24"/>
          <w:szCs w:val="24"/>
          <w:lang w:bidi="pt-BR"/>
        </w:rPr>
        <w:t xml:space="preserve"> 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 xml:space="preserve">De acordo com a Lei nº 20.308, de 27 de julho de 2012, a supressão dos indivíduos de Ipê e a forma de compensação pela supressão da espécie ocorrerá da seguinte forma:  </w:t>
      </w:r>
    </w:p>
    <w:p w14:paraId="6AED6C5F" w14:textId="77777777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</w:p>
    <w:p w14:paraId="31637053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lang w:bidi="pt-BR"/>
        </w:rPr>
      </w:pPr>
      <w:r w:rsidRPr="00BE0D65">
        <w:rPr>
          <w:rFonts w:ascii="Times New Roman" w:hAnsi="Times New Roman" w:cs="Times New Roman"/>
          <w:b/>
          <w:bCs/>
          <w:lang w:bidi="pt-BR"/>
        </w:rPr>
        <w:t>Art. 3º</w:t>
      </w:r>
      <w:r w:rsidRPr="00BE0D65">
        <w:rPr>
          <w:rFonts w:ascii="Times New Roman" w:hAnsi="Times New Roman" w:cs="Times New Roman"/>
          <w:lang w:bidi="pt-BR"/>
        </w:rPr>
        <w:t xml:space="preserve"> - Os </w:t>
      </w:r>
      <w:proofErr w:type="spellStart"/>
      <w:r w:rsidRPr="00BE0D65">
        <w:rPr>
          <w:rFonts w:ascii="Times New Roman" w:hAnsi="Times New Roman" w:cs="Times New Roman"/>
          <w:lang w:bidi="pt-BR"/>
        </w:rPr>
        <w:t>arts</w:t>
      </w:r>
      <w:proofErr w:type="spellEnd"/>
      <w:r w:rsidRPr="00BE0D65">
        <w:rPr>
          <w:rFonts w:ascii="Times New Roman" w:hAnsi="Times New Roman" w:cs="Times New Roman"/>
          <w:lang w:bidi="pt-BR"/>
        </w:rPr>
        <w:t>. 1º e 2º da Lei nº 9.743, de 15 de dezembro de 1988, passam a vigorar com a seguinte redação:</w:t>
      </w:r>
    </w:p>
    <w:p w14:paraId="4ED8E4B6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lang w:bidi="pt-BR"/>
        </w:rPr>
      </w:pPr>
      <w:r w:rsidRPr="00BE0D65">
        <w:rPr>
          <w:rFonts w:ascii="Times New Roman" w:hAnsi="Times New Roman" w:cs="Times New Roman"/>
          <w:lang w:bidi="pt-BR"/>
        </w:rPr>
        <w:t>“Art. 1º - Fica declarado de preservação permanente, de interesse comum e imune de corte no Estado o ipê-amarelo.</w:t>
      </w:r>
    </w:p>
    <w:p w14:paraId="71CAFBAC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lang w:bidi="pt-BR"/>
        </w:rPr>
      </w:pPr>
      <w:r w:rsidRPr="00BE0D65">
        <w:rPr>
          <w:rFonts w:ascii="Times New Roman" w:hAnsi="Times New Roman" w:cs="Times New Roman"/>
          <w:lang w:bidi="pt-BR"/>
        </w:rPr>
        <w:t>Parágrafo único. As espécies protegidas nos termos deste artigo são as essências nativas popularmente conhecidas como ipê-amarelo e pau-d’arco-amarelo, pertencentes aos gêneros Tabebuia e </w:t>
      </w:r>
      <w:proofErr w:type="spellStart"/>
      <w:r w:rsidRPr="00BE0D65">
        <w:rPr>
          <w:rFonts w:ascii="Times New Roman" w:hAnsi="Times New Roman" w:cs="Times New Roman"/>
          <w:lang w:bidi="pt-BR"/>
        </w:rPr>
        <w:t>Tecoma</w:t>
      </w:r>
      <w:proofErr w:type="spellEnd"/>
      <w:r w:rsidRPr="00BE0D65">
        <w:rPr>
          <w:rFonts w:ascii="Times New Roman" w:hAnsi="Times New Roman" w:cs="Times New Roman"/>
          <w:lang w:bidi="pt-BR"/>
        </w:rPr>
        <w:t>.</w:t>
      </w:r>
    </w:p>
    <w:p w14:paraId="1325E25C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b/>
          <w:bCs/>
          <w:lang w:bidi="pt-BR"/>
        </w:rPr>
      </w:pPr>
      <w:r w:rsidRPr="00BE0D65">
        <w:rPr>
          <w:rFonts w:ascii="Times New Roman" w:hAnsi="Times New Roman" w:cs="Times New Roman"/>
          <w:b/>
          <w:bCs/>
          <w:lang w:bidi="pt-BR"/>
        </w:rPr>
        <w:t>Art. 2º - A supressão do ipê-amarelo só será admitida nos seguintes casos:</w:t>
      </w:r>
    </w:p>
    <w:p w14:paraId="2F69940D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lang w:bidi="pt-BR"/>
        </w:rPr>
      </w:pPr>
      <w:r w:rsidRPr="00BE0D65">
        <w:rPr>
          <w:rFonts w:ascii="Times New Roman" w:hAnsi="Times New Roman" w:cs="Times New Roman"/>
          <w:lang w:bidi="pt-BR"/>
        </w:rPr>
        <w:t xml:space="preserve">I – </w:t>
      </w:r>
      <w:proofErr w:type="gramStart"/>
      <w:r w:rsidRPr="00BE0D65">
        <w:rPr>
          <w:rFonts w:ascii="Times New Roman" w:hAnsi="Times New Roman" w:cs="Times New Roman"/>
          <w:lang w:bidi="pt-BR"/>
        </w:rPr>
        <w:t>quando</w:t>
      </w:r>
      <w:proofErr w:type="gramEnd"/>
      <w:r w:rsidRPr="00BE0D65">
        <w:rPr>
          <w:rFonts w:ascii="Times New Roman" w:hAnsi="Times New Roman" w:cs="Times New Roman"/>
          <w:lang w:bidi="pt-BR"/>
        </w:rPr>
        <w:t> necessária à execução de obra, plano, atividade ou projeto de utilidade pública ou de interesse social, mediante autorização do órgão ambiental estadual competente;</w:t>
      </w:r>
    </w:p>
    <w:p w14:paraId="00618C25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b/>
          <w:bCs/>
          <w:lang w:bidi="pt-BR"/>
        </w:rPr>
      </w:pPr>
      <w:r w:rsidRPr="00BE0D65">
        <w:rPr>
          <w:rFonts w:ascii="Times New Roman" w:hAnsi="Times New Roman" w:cs="Times New Roman"/>
          <w:b/>
          <w:bCs/>
          <w:lang w:bidi="pt-BR"/>
        </w:rPr>
        <w:t xml:space="preserve">II – </w:t>
      </w:r>
      <w:proofErr w:type="gramStart"/>
      <w:r w:rsidRPr="00BE0D65">
        <w:rPr>
          <w:rFonts w:ascii="Times New Roman" w:hAnsi="Times New Roman" w:cs="Times New Roman"/>
          <w:b/>
          <w:bCs/>
          <w:lang w:bidi="pt-BR"/>
        </w:rPr>
        <w:t>em</w:t>
      </w:r>
      <w:proofErr w:type="gramEnd"/>
      <w:r w:rsidRPr="00BE0D65">
        <w:rPr>
          <w:rFonts w:ascii="Times New Roman" w:hAnsi="Times New Roman" w:cs="Times New Roman"/>
          <w:b/>
          <w:bCs/>
          <w:lang w:bidi="pt-BR"/>
        </w:rPr>
        <w:t xml:space="preserve"> área urbana ou distrito industrial legalmente constituído, mediante autorização do Conselho Municipal de Meio Ambiente ou, na ausência deste, do órgão ambiental estadual competente;</w:t>
      </w:r>
    </w:p>
    <w:p w14:paraId="394A1D9E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lang w:bidi="pt-BR"/>
        </w:rPr>
      </w:pPr>
      <w:r w:rsidRPr="00BE0D65">
        <w:rPr>
          <w:rFonts w:ascii="Times New Roman" w:hAnsi="Times New Roman" w:cs="Times New Roman"/>
          <w:lang w:bidi="pt-BR"/>
        </w:rPr>
        <w:t>III – em área rural antropizada até 22 de julho de 2008 ou em pousio, quando a manutenção de espécime no local dificultar a implantação de projeto </w:t>
      </w:r>
      <w:proofErr w:type="spellStart"/>
      <w:r w:rsidRPr="00BE0D65">
        <w:rPr>
          <w:rFonts w:ascii="Times New Roman" w:hAnsi="Times New Roman" w:cs="Times New Roman"/>
          <w:lang w:bidi="pt-BR"/>
        </w:rPr>
        <w:t>agrossilvipastoril</w:t>
      </w:r>
      <w:proofErr w:type="spellEnd"/>
      <w:r w:rsidRPr="00BE0D65">
        <w:rPr>
          <w:rFonts w:ascii="Times New Roman" w:hAnsi="Times New Roman" w:cs="Times New Roman"/>
          <w:lang w:bidi="pt-BR"/>
        </w:rPr>
        <w:t>, mediante autorização do órgão ambiental estadual competente.</w:t>
      </w:r>
    </w:p>
    <w:p w14:paraId="6B5EF663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b/>
          <w:bCs/>
          <w:lang w:bidi="pt-BR"/>
        </w:rPr>
      </w:pPr>
      <w:r w:rsidRPr="00BE0D65">
        <w:rPr>
          <w:rFonts w:ascii="Times New Roman" w:hAnsi="Times New Roman" w:cs="Times New Roman"/>
          <w:b/>
          <w:bCs/>
          <w:lang w:bidi="pt-BR"/>
        </w:rPr>
        <w:t>§ 1º - Como condição para a emissão de autorização para a supressão do ipê-amarelo, os órgãos e as entidades a que se referem os incisos do caput deste artigo exigirão formalmente do empreendedor o plantio de uma a cinco mudas catalogadas e identificadas do ipê-amarelo por árvore a ser suprimida, com base em parecer técnico fundamentado, consideradas as características de clima e de solo e a frequência natural da espécie, em maior ou menor densidade, na área a ser ocupada pelo empreendimento.</w:t>
      </w:r>
    </w:p>
    <w:p w14:paraId="351F20D6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lang w:bidi="pt-BR"/>
        </w:rPr>
      </w:pPr>
      <w:r w:rsidRPr="00BE0D65">
        <w:rPr>
          <w:rFonts w:ascii="Times New Roman" w:hAnsi="Times New Roman" w:cs="Times New Roman"/>
          <w:lang w:bidi="pt-BR"/>
        </w:rPr>
        <w:lastRenderedPageBreak/>
        <w:t>§ 2º - O empreendedor responsável pela supressão do ipê-amarelo nos termos do inciso I do caput deste artigo poderá optar, alternativamente à exigência prevista no § 1º, pelo recolhimento de 100 </w:t>
      </w:r>
      <w:proofErr w:type="spellStart"/>
      <w:r w:rsidRPr="00BE0D65">
        <w:rPr>
          <w:rFonts w:ascii="Times New Roman" w:hAnsi="Times New Roman" w:cs="Times New Roman"/>
          <w:lang w:bidi="pt-BR"/>
        </w:rPr>
        <w:t>Ufemgs</w:t>
      </w:r>
      <w:proofErr w:type="spellEnd"/>
      <w:r w:rsidRPr="00BE0D65">
        <w:rPr>
          <w:rFonts w:ascii="Times New Roman" w:hAnsi="Times New Roman" w:cs="Times New Roman"/>
          <w:lang w:bidi="pt-BR"/>
        </w:rPr>
        <w:t> (cem Unidades Fiscais do Estado de Minas Gerais), por árvore a ser suprimida, à Conta Recursos Especiais a Aplicar de que trata o art. 50 da Lei nº 14.309, de 19 de junho de 2002</w:t>
      </w:r>
      <w:hyperlink r:id="rId5" w:anchor="_ftn5" w:history="1">
        <w:r w:rsidRPr="00BE0D65">
          <w:rPr>
            <w:rStyle w:val="Hyperlink"/>
            <w:rFonts w:ascii="Times New Roman" w:hAnsi="Times New Roman" w:cs="Times New Roman"/>
            <w:vertAlign w:val="superscript"/>
            <w:lang w:bidi="pt-BR"/>
          </w:rPr>
          <w:t>[5]</w:t>
        </w:r>
      </w:hyperlink>
      <w:r w:rsidRPr="00BE0D65">
        <w:rPr>
          <w:rFonts w:ascii="Times New Roman" w:hAnsi="Times New Roman" w:cs="Times New Roman"/>
          <w:lang w:bidi="pt-BR"/>
        </w:rPr>
        <w:t>.</w:t>
      </w:r>
    </w:p>
    <w:p w14:paraId="063B88BD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b/>
          <w:bCs/>
          <w:lang w:bidi="pt-BR"/>
        </w:rPr>
      </w:pPr>
      <w:r w:rsidRPr="00BE0D65">
        <w:rPr>
          <w:rFonts w:ascii="Times New Roman" w:hAnsi="Times New Roman" w:cs="Times New Roman"/>
          <w:b/>
          <w:bCs/>
          <w:lang w:bidi="pt-BR"/>
        </w:rPr>
        <w:t>§ 3º - Caberá ao responsável pela supressão do ipê-amarelo, com o acompanhamento de profissional legalmente habilitado, o plantio das mudas a que se refere o § 1º e, pelo prazo mínimo de cinco anos, o monitoramento do seu desenvolvimento e o plantio de novas mudas para substituir aquelas que não se desenvolverem.</w:t>
      </w:r>
    </w:p>
    <w:p w14:paraId="34F969B7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lang w:bidi="pt-BR"/>
        </w:rPr>
      </w:pPr>
      <w:r w:rsidRPr="00BE0D65">
        <w:rPr>
          <w:rFonts w:ascii="Times New Roman" w:hAnsi="Times New Roman" w:cs="Times New Roman"/>
          <w:lang w:bidi="pt-BR"/>
        </w:rPr>
        <w:t>§ 4º - O plantio a que se refere o § 1º será efetuado na mesma sub-bacia hidrográfica em que se localiza o empreendimento, em sistema de enriquecimento florestal ou de recuperação de áreas antropizadas, incluindo áreas de reserva legal e preservação permanente, ou como recuperação de áreas no interior de unidades de conservação de domínio público, conforme critérios definidos pelo órgão ambiental estadual competente.</w:t>
      </w:r>
    </w:p>
    <w:p w14:paraId="5F596E04" w14:textId="77777777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 w:rsidRPr="00BE0D65">
        <w:rPr>
          <w:rFonts w:ascii="Times New Roman" w:hAnsi="Times New Roman" w:cs="Times New Roman"/>
          <w:sz w:val="24"/>
          <w:szCs w:val="24"/>
          <w:lang w:bidi="pt-BR"/>
        </w:rPr>
        <w:tab/>
      </w:r>
    </w:p>
    <w:p w14:paraId="04DE75CF" w14:textId="62A7A5F2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 w:rsidRPr="00BE0D65">
        <w:rPr>
          <w:rFonts w:ascii="Times New Roman" w:hAnsi="Times New Roman" w:cs="Times New Roman"/>
          <w:sz w:val="24"/>
          <w:szCs w:val="24"/>
          <w:lang w:bidi="pt-BR"/>
        </w:rPr>
        <w:t xml:space="preserve">Sendo assim, para a supressão de 30 indivíduos de Ipê o empreendedor deverá realizar o </w:t>
      </w:r>
      <w:r w:rsidRPr="00BE0D65">
        <w:rPr>
          <w:rFonts w:ascii="Times New Roman" w:hAnsi="Times New Roman" w:cs="Times New Roman"/>
          <w:b/>
          <w:bCs/>
          <w:sz w:val="24"/>
          <w:szCs w:val="24"/>
          <w:lang w:bidi="pt-BR"/>
        </w:rPr>
        <w:t>plantio de 60 mudas de Ipê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 xml:space="preserve"> em área a ser definida junto a </w:t>
      </w:r>
      <w:r w:rsidR="00E06C69">
        <w:rPr>
          <w:rFonts w:ascii="Times New Roman" w:hAnsi="Times New Roman" w:cs="Times New Roman"/>
          <w:sz w:val="24"/>
          <w:szCs w:val="24"/>
          <w:lang w:bidi="pt-BR"/>
        </w:rPr>
        <w:t xml:space="preserve">Secretaria Municipal de Meio Ambiente, Desenvolvimento Econômico e Turismo - 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>SEMADETUR, sendo acompanhado por 05 (cinco) anos podendo esse prazo ser estendido caso não se comprove a eficácia do plantio.</w:t>
      </w:r>
    </w:p>
    <w:p w14:paraId="655A3E52" w14:textId="77777777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 w:rsidRPr="00BE0D65">
        <w:rPr>
          <w:rFonts w:ascii="Times New Roman" w:hAnsi="Times New Roman" w:cs="Times New Roman"/>
          <w:sz w:val="24"/>
          <w:szCs w:val="24"/>
          <w:lang w:bidi="pt-BR"/>
        </w:rPr>
        <w:t>Conforme a Lei Complementar 88 de 24 de novembro de 2003 que “Dispõe sobre a obrigatoriedade da Preservação do Meio Ambiente no município de Sete Lagoas”, no artigo 1 ao realizar a supressão de vegetação o empreendedor deverá realizar o plantio de 5 mudas por cada árvore suprimida, conforme:</w:t>
      </w:r>
    </w:p>
    <w:p w14:paraId="5215AB80" w14:textId="77777777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</w:p>
    <w:p w14:paraId="246133EE" w14:textId="77777777" w:rsidR="0064509C" w:rsidRPr="00BE0D65" w:rsidRDefault="0064509C" w:rsidP="0064509C">
      <w:pPr>
        <w:spacing w:after="0" w:line="360" w:lineRule="auto"/>
        <w:ind w:left="1701"/>
        <w:jc w:val="both"/>
        <w:rPr>
          <w:rFonts w:ascii="Times New Roman" w:hAnsi="Times New Roman" w:cs="Times New Roman"/>
          <w:lang w:bidi="pt-BR"/>
        </w:rPr>
      </w:pPr>
      <w:r w:rsidRPr="00BE0D65">
        <w:rPr>
          <w:rFonts w:ascii="Times New Roman" w:hAnsi="Times New Roman" w:cs="Times New Roman"/>
          <w:b/>
          <w:bCs/>
          <w:lang w:bidi="pt-BR"/>
        </w:rPr>
        <w:t>Art. 1º</w:t>
      </w:r>
      <w:r w:rsidRPr="00BE0D65">
        <w:rPr>
          <w:rFonts w:ascii="Times New Roman" w:hAnsi="Times New Roman" w:cs="Times New Roman"/>
          <w:lang w:bidi="pt-BR"/>
        </w:rPr>
        <w:t xml:space="preserve"> Fica determinado que para cada árvore cortada no município de Sete Lagoas, estará obrigado o solicitante pelo corte, a efetuar o plantio de pelo menos 05 (cinco) mudas. </w:t>
      </w:r>
    </w:p>
    <w:p w14:paraId="4011F08D" w14:textId="77777777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</w:p>
    <w:p w14:paraId="0B4628D1" w14:textId="36A54FBD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 w:rsidRPr="00BE0D65">
        <w:rPr>
          <w:rFonts w:ascii="Times New Roman" w:hAnsi="Times New Roman" w:cs="Times New Roman"/>
          <w:sz w:val="24"/>
          <w:szCs w:val="24"/>
          <w:lang w:bidi="pt-BR"/>
        </w:rPr>
        <w:t>De tal modo, a compensação do empreendimento será o plantio de 4.</w:t>
      </w:r>
      <w:r w:rsidR="00E06C69">
        <w:rPr>
          <w:rFonts w:ascii="Times New Roman" w:hAnsi="Times New Roman" w:cs="Times New Roman"/>
          <w:sz w:val="24"/>
          <w:szCs w:val="24"/>
          <w:lang w:bidi="pt-BR"/>
        </w:rPr>
        <w:t>245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 xml:space="preserve"> mudas de espécies nativas, referente a supressão de 8</w:t>
      </w:r>
      <w:r w:rsidR="00E06C69">
        <w:rPr>
          <w:rFonts w:ascii="Times New Roman" w:hAnsi="Times New Roman" w:cs="Times New Roman"/>
          <w:sz w:val="24"/>
          <w:szCs w:val="24"/>
          <w:lang w:bidi="pt-BR"/>
        </w:rPr>
        <w:t>4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 xml:space="preserve">9 espécies, em um local definido pela 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lastRenderedPageBreak/>
        <w:t xml:space="preserve">SEMADETUR. Essas mudas deveram ser acompanhadas por um período de 02 (dois) ano, podendo esse prazo ser estendido caso não se comprove a eficácia do plantio. </w:t>
      </w:r>
    </w:p>
    <w:p w14:paraId="1D989A5E" w14:textId="6F226AA6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 w:rsidRPr="00BE0D65">
        <w:rPr>
          <w:rFonts w:ascii="Times New Roman" w:hAnsi="Times New Roman" w:cs="Times New Roman"/>
          <w:sz w:val="24"/>
          <w:szCs w:val="24"/>
          <w:lang w:bidi="pt-BR"/>
        </w:rPr>
        <w:t xml:space="preserve">De acordo com o Termo de Ajustamento de Conduta – TAC firmado entre a SEMADETUR e a empresa Vitória da união Empreendimentos Imobiliários Ltda no dia 17 de maio de 2021, o empreendimento foi condicionado a realiza a compensação ambiental de 2.896 mudas de espécies nativas nas </w:t>
      </w:r>
      <w:r w:rsidRPr="00BE0D65">
        <w:rPr>
          <w:rFonts w:ascii="Times New Roman" w:hAnsi="Times New Roman" w:cs="Times New Roman"/>
          <w:bCs/>
          <w:sz w:val="24"/>
          <w:szCs w:val="24"/>
          <w:lang w:bidi="pt-BR"/>
        </w:rPr>
        <w:t xml:space="preserve">Áreas de Preservação Permanente – APP do Córrego do Machado (6.589 m²), Córrego Macuco (15.054 m²) e Córrego Ribeirão do Matadouro (7.319,8 m²). Dessas 2.896 mudas, 560 mudas são referentes ao 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>Auto de Infração nºAI291020-02 emitido pela SEMADETUR para o empreendimento “Vitória da União” no dia 24 de novembro de 2020. Além das mudas referentes ao auto de infração o empreendimento se comprometeu a realizar o plantio de 2.336 mudas excedentes. Diante do exposto, será contabilizado as 2.336 mudas presentes no TAC do empreendimento na compensação das 4.</w:t>
      </w:r>
      <w:r w:rsidR="00E06C69">
        <w:rPr>
          <w:rFonts w:ascii="Times New Roman" w:hAnsi="Times New Roman" w:cs="Times New Roman"/>
          <w:sz w:val="24"/>
          <w:szCs w:val="24"/>
          <w:lang w:bidi="pt-BR"/>
        </w:rPr>
        <w:t>24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>5 mudas de espécies nativas a serem plantadas pela supressão de 8</w:t>
      </w:r>
      <w:r w:rsidR="00E06C69">
        <w:rPr>
          <w:rFonts w:ascii="Times New Roman" w:hAnsi="Times New Roman" w:cs="Times New Roman"/>
          <w:sz w:val="24"/>
          <w:szCs w:val="24"/>
          <w:lang w:bidi="pt-BR"/>
        </w:rPr>
        <w:t>4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>9 indivíduos arbóreos. Dessa forma, o empreendimento fica condicionado a realizar o plantio de:</w:t>
      </w:r>
    </w:p>
    <w:p w14:paraId="0266C3B8" w14:textId="77777777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 w:rsidRPr="00BE0D65">
        <w:rPr>
          <w:rFonts w:ascii="Times New Roman" w:hAnsi="Times New Roman" w:cs="Times New Roman"/>
          <w:sz w:val="24"/>
          <w:szCs w:val="24"/>
          <w:lang w:bidi="pt-BR"/>
        </w:rPr>
        <w:t>- 60 mudas de Ipês referentes a supressão de 30 Ipês;</w:t>
      </w:r>
    </w:p>
    <w:p w14:paraId="3B6F2CD5" w14:textId="77777777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 w:rsidRPr="00BE0D65">
        <w:rPr>
          <w:rFonts w:ascii="Times New Roman" w:hAnsi="Times New Roman" w:cs="Times New Roman"/>
          <w:sz w:val="24"/>
          <w:szCs w:val="24"/>
          <w:lang w:bidi="pt-BR"/>
        </w:rPr>
        <w:t>- 560 mudas de espécie nativa referente ao Auto de Infração nºAI291020-02;</w:t>
      </w:r>
    </w:p>
    <w:p w14:paraId="3317A9B2" w14:textId="3ADE176D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 w:rsidRPr="00BE0D65">
        <w:rPr>
          <w:rFonts w:ascii="Times New Roman" w:hAnsi="Times New Roman" w:cs="Times New Roman"/>
          <w:sz w:val="24"/>
          <w:szCs w:val="24"/>
          <w:lang w:bidi="pt-BR"/>
        </w:rPr>
        <w:t>- 4.</w:t>
      </w:r>
      <w:r w:rsidR="00E06C69">
        <w:rPr>
          <w:rFonts w:ascii="Times New Roman" w:hAnsi="Times New Roman" w:cs="Times New Roman"/>
          <w:sz w:val="24"/>
          <w:szCs w:val="24"/>
          <w:lang w:bidi="pt-BR"/>
        </w:rPr>
        <w:t>24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>5 mudas de espécies nativas referentes a supressão de 8</w:t>
      </w:r>
      <w:r w:rsidR="00E06C69">
        <w:rPr>
          <w:rFonts w:ascii="Times New Roman" w:hAnsi="Times New Roman" w:cs="Times New Roman"/>
          <w:sz w:val="24"/>
          <w:szCs w:val="24"/>
          <w:lang w:bidi="pt-BR"/>
        </w:rPr>
        <w:t>4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>9 mudas suprimidas, sendo 2.336 mudas presentes no Termo de Ajustamento de Conduta – TAC do empreendimento e 1.</w:t>
      </w:r>
      <w:r w:rsidR="00E06C69">
        <w:rPr>
          <w:rFonts w:ascii="Times New Roman" w:hAnsi="Times New Roman" w:cs="Times New Roman"/>
          <w:sz w:val="24"/>
          <w:szCs w:val="24"/>
          <w:lang w:bidi="pt-BR"/>
        </w:rPr>
        <w:t>90</w:t>
      </w:r>
      <w:r w:rsidRPr="00BE0D65">
        <w:rPr>
          <w:rFonts w:ascii="Times New Roman" w:hAnsi="Times New Roman" w:cs="Times New Roman"/>
          <w:sz w:val="24"/>
          <w:szCs w:val="24"/>
          <w:lang w:bidi="pt-BR"/>
        </w:rPr>
        <w:t>9 mudas a serem plantadas em áreas definidas pela SEMADETUR.</w:t>
      </w:r>
    </w:p>
    <w:p w14:paraId="2DD5D2A1" w14:textId="77777777" w:rsidR="0064509C" w:rsidRPr="00BE0D65" w:rsidRDefault="0064509C" w:rsidP="006450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 w:rsidRPr="00BE0D65">
        <w:rPr>
          <w:rFonts w:ascii="Times New Roman" w:hAnsi="Times New Roman" w:cs="Times New Roman"/>
          <w:bCs/>
          <w:sz w:val="24"/>
          <w:szCs w:val="24"/>
          <w:lang w:bidi="pt-BR"/>
        </w:rPr>
        <w:t xml:space="preserve">Em toda Intervenção Ambiental será recolhido o pagamento da Taxa Florestal e da Reposição Florestal. A Taxa Florestal trata-se de </w:t>
      </w:r>
      <w:r w:rsidRPr="00BE0D65">
        <w:rPr>
          <w:rFonts w:ascii="Times New Roman" w:hAnsi="Times New Roman" w:cs="Times New Roman"/>
          <w:b/>
          <w:sz w:val="24"/>
          <w:szCs w:val="24"/>
          <w:lang w:bidi="pt-BR"/>
        </w:rPr>
        <w:t xml:space="preserve">tributo estadual </w:t>
      </w:r>
      <w:r w:rsidRPr="00BE0D65">
        <w:rPr>
          <w:rFonts w:ascii="Times New Roman" w:hAnsi="Times New Roman" w:cs="Times New Roman"/>
          <w:bCs/>
          <w:sz w:val="24"/>
          <w:szCs w:val="24"/>
          <w:lang w:bidi="pt-BR"/>
        </w:rPr>
        <w:t>de recolhimento obrigatório nos processos de Intervenção Ambiental. Ela será recolhida na formalização de todo processo de intervenção ambiental conforme o volume de produtos florestais estimado para a autorização pretendida. Informações a respeito da Taxa Florestal estão presentes no artigo nº 25 da Deliberação Normativa CODEMA nº 003/2021. A taxa de Reposição Florestal (Lei nº 20.922 de 2013) deverá ser exigida em todos os casos de deferimento de autorização para intervenção ambiental que resulte em rendimento lenhoso.</w:t>
      </w:r>
    </w:p>
    <w:p w14:paraId="41B23C41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DBE5EA8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 E RECOMENDAÇÕES</w:t>
      </w:r>
    </w:p>
    <w:p w14:paraId="3B423317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ECE19" w14:textId="77777777" w:rsidR="0064509C" w:rsidRPr="00625F57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pt-BR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25F57">
        <w:rPr>
          <w:rFonts w:ascii="Times New Roman" w:hAnsi="Times New Roman" w:cs="Times New Roman"/>
          <w:sz w:val="24"/>
          <w:szCs w:val="24"/>
          <w:lang w:bidi="pt-BR"/>
        </w:rPr>
        <w:t>Diante do exposto, recomenda-se o deferimento da Autorização para Supressão de Vegetação para a instalação do “</w:t>
      </w:r>
      <w:r>
        <w:rPr>
          <w:rFonts w:ascii="Times New Roman" w:hAnsi="Times New Roman" w:cs="Times New Roman"/>
          <w:sz w:val="24"/>
          <w:szCs w:val="24"/>
          <w:lang w:bidi="pt-BR"/>
        </w:rPr>
        <w:t>Loteamento Vitória da União</w:t>
      </w:r>
      <w:r w:rsidRPr="00625F57">
        <w:rPr>
          <w:rFonts w:ascii="Times New Roman" w:hAnsi="Times New Roman" w:cs="Times New Roman"/>
          <w:sz w:val="24"/>
          <w:szCs w:val="24"/>
          <w:lang w:bidi="pt-BR"/>
        </w:rPr>
        <w:t>” uma vez que a apresentação dos projetos e a documentação estão em conformidade com o objetivo proposto e, desde que sejam atendidas todas as normas técnicas, jurídicas e ambientais pertinentes, e que sejam observadas as condicionantes do ANEXO I</w:t>
      </w:r>
      <w:r>
        <w:rPr>
          <w:rFonts w:ascii="Times New Roman" w:hAnsi="Times New Roman" w:cs="Times New Roman"/>
          <w:sz w:val="24"/>
          <w:szCs w:val="24"/>
          <w:lang w:bidi="pt-BR"/>
        </w:rPr>
        <w:t>I</w:t>
      </w:r>
      <w:r w:rsidRPr="00625F57">
        <w:rPr>
          <w:rFonts w:ascii="Times New Roman" w:hAnsi="Times New Roman" w:cs="Times New Roman"/>
          <w:sz w:val="24"/>
          <w:szCs w:val="24"/>
          <w:lang w:bidi="pt-BR"/>
        </w:rPr>
        <w:t xml:space="preserve"> que é parte integrante do presente parecer.</w:t>
      </w:r>
    </w:p>
    <w:p w14:paraId="4E257FA1" w14:textId="77777777" w:rsidR="0064509C" w:rsidRPr="00625F57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bidi="pt-BR"/>
        </w:rPr>
      </w:pPr>
    </w:p>
    <w:p w14:paraId="0F9E28B8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CDD88" w14:textId="77777777" w:rsidR="0064509C" w:rsidRDefault="0064509C" w:rsidP="006450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1B7735" w14:textId="77777777" w:rsidR="0064509C" w:rsidRPr="0090232B" w:rsidRDefault="0064509C" w:rsidP="00645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232B">
        <w:rPr>
          <w:rFonts w:ascii="Times New Roman" w:hAnsi="Times New Roman" w:cs="Times New Roman"/>
          <w:sz w:val="24"/>
          <w:szCs w:val="24"/>
        </w:rPr>
        <w:t>Lidia Gabriella Santos</w:t>
      </w:r>
    </w:p>
    <w:p w14:paraId="3CB90D10" w14:textId="77777777" w:rsidR="0064509C" w:rsidRPr="0090232B" w:rsidRDefault="0064509C" w:rsidP="00645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232B">
        <w:rPr>
          <w:rFonts w:ascii="Times New Roman" w:hAnsi="Times New Roman" w:cs="Times New Roman"/>
          <w:sz w:val="24"/>
          <w:szCs w:val="24"/>
        </w:rPr>
        <w:t>Assessora Técnica em Engenharia Ambiental</w:t>
      </w:r>
    </w:p>
    <w:p w14:paraId="2236EC5E" w14:textId="77777777" w:rsidR="0064509C" w:rsidRPr="0090232B" w:rsidRDefault="0064509C" w:rsidP="00645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232B">
        <w:rPr>
          <w:rFonts w:ascii="Times New Roman" w:hAnsi="Times New Roman" w:cs="Times New Roman"/>
          <w:sz w:val="24"/>
          <w:szCs w:val="24"/>
        </w:rPr>
        <w:t>Engenheira Florestal</w:t>
      </w:r>
    </w:p>
    <w:p w14:paraId="3016858D" w14:textId="77777777" w:rsidR="0064509C" w:rsidRDefault="0064509C" w:rsidP="00645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232B">
        <w:rPr>
          <w:rFonts w:ascii="Times New Roman" w:hAnsi="Times New Roman" w:cs="Times New Roman"/>
          <w:sz w:val="24"/>
          <w:szCs w:val="24"/>
        </w:rPr>
        <w:t>CREA MG-253.010/D</w:t>
      </w:r>
    </w:p>
    <w:p w14:paraId="1131DD55" w14:textId="77777777" w:rsidR="0064509C" w:rsidRPr="0064509C" w:rsidRDefault="0064509C">
      <w:pPr>
        <w:rPr>
          <w:rFonts w:ascii="Times New Roman" w:hAnsi="Times New Roman" w:cs="Times New Roman"/>
          <w:sz w:val="24"/>
          <w:szCs w:val="24"/>
        </w:rPr>
      </w:pPr>
    </w:p>
    <w:p w14:paraId="0AC3C463" w14:textId="77777777" w:rsidR="0064509C" w:rsidRPr="0064509C" w:rsidRDefault="0064509C">
      <w:pPr>
        <w:rPr>
          <w:rFonts w:ascii="Times New Roman" w:hAnsi="Times New Roman" w:cs="Times New Roman"/>
          <w:sz w:val="24"/>
          <w:szCs w:val="24"/>
        </w:rPr>
      </w:pPr>
    </w:p>
    <w:sectPr w:rsidR="0064509C" w:rsidRPr="006450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09C"/>
    <w:rsid w:val="00083A0F"/>
    <w:rsid w:val="0064509C"/>
    <w:rsid w:val="00A73A1B"/>
    <w:rsid w:val="00AE2E65"/>
    <w:rsid w:val="00B027BC"/>
    <w:rsid w:val="00CD18FA"/>
    <w:rsid w:val="00E06C69"/>
    <w:rsid w:val="00EE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6CC3D"/>
  <w15:chartTrackingRefBased/>
  <w15:docId w15:val="{E34E5F6C-7D36-43CA-ABDA-61CDC9EAD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450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2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iam.mg.gov.br/sla/download.pdf?idNorma=3609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6</Pages>
  <Words>1579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</dc:creator>
  <cp:keywords/>
  <dc:description/>
  <cp:lastModifiedBy>Lidia</cp:lastModifiedBy>
  <cp:revision>1</cp:revision>
  <cp:lastPrinted>2021-08-02T14:44:00Z</cp:lastPrinted>
  <dcterms:created xsi:type="dcterms:W3CDTF">2021-07-29T14:37:00Z</dcterms:created>
  <dcterms:modified xsi:type="dcterms:W3CDTF">2021-08-02T14:45:00Z</dcterms:modified>
</cp:coreProperties>
</file>